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bidiVisual/>
        <w:tblW w:w="8750" w:type="dxa"/>
        <w:tblLook w:val="04A0" w:firstRow="1" w:lastRow="0" w:firstColumn="1" w:lastColumn="0" w:noHBand="0" w:noVBand="1"/>
        <w:tblCaption w:val="אושרה התרופה אלליסו (Elelyso)  למחלת הגושה. התרופה מיוצרת בתרביות תאי צמחים בחברת &quot;פרוטליקס&quot;. "/>
      </w:tblPr>
      <w:tblGrid>
        <w:gridCol w:w="1382"/>
        <w:gridCol w:w="7368"/>
      </w:tblGrid>
      <w:tr w:rsidR="00445072" w14:paraId="1B25825C" w14:textId="77777777" w:rsidTr="00147C00">
        <w:trPr>
          <w:trHeight w:val="706"/>
        </w:trPr>
        <w:tc>
          <w:tcPr>
            <w:tcW w:w="1382" w:type="dxa"/>
          </w:tcPr>
          <w:p w14:paraId="04E42C34" w14:textId="77777777" w:rsidR="00445072" w:rsidRPr="00E9516D" w:rsidRDefault="00445072" w:rsidP="00147C00">
            <w:pPr>
              <w:rPr>
                <w:b/>
                <w:bCs/>
                <w:sz w:val="24"/>
                <w:szCs w:val="24"/>
                <w:rtl/>
              </w:rPr>
            </w:pPr>
            <w:r w:rsidRPr="00E9516D">
              <w:rPr>
                <w:rFonts w:hint="cs"/>
                <w:b/>
                <w:bCs/>
                <w:sz w:val="24"/>
                <w:szCs w:val="24"/>
                <w:rtl/>
              </w:rPr>
              <w:t>השנה</w:t>
            </w:r>
          </w:p>
        </w:tc>
        <w:tc>
          <w:tcPr>
            <w:tcW w:w="7368" w:type="dxa"/>
          </w:tcPr>
          <w:p w14:paraId="4080756C" w14:textId="77777777" w:rsidR="00445072" w:rsidRPr="003C63D2" w:rsidRDefault="00A856AD" w:rsidP="00147C00">
            <w:pPr>
              <w:rPr>
                <w:rtl/>
              </w:rPr>
            </w:pPr>
            <w:r>
              <w:rPr>
                <w:rFonts w:hint="cs"/>
                <w:rtl/>
              </w:rPr>
              <w:t>2012</w:t>
            </w:r>
          </w:p>
        </w:tc>
      </w:tr>
      <w:tr w:rsidR="00445072" w14:paraId="0FBC8117" w14:textId="77777777" w:rsidTr="00147C00">
        <w:trPr>
          <w:trHeight w:val="664"/>
        </w:trPr>
        <w:tc>
          <w:tcPr>
            <w:tcW w:w="1382" w:type="dxa"/>
          </w:tcPr>
          <w:p w14:paraId="0906B9E6" w14:textId="77777777" w:rsidR="00445072" w:rsidRPr="00E9516D" w:rsidRDefault="00445072" w:rsidP="00147C00">
            <w:pPr>
              <w:rPr>
                <w:b/>
                <w:bCs/>
                <w:sz w:val="24"/>
                <w:szCs w:val="24"/>
                <w:rtl/>
              </w:rPr>
            </w:pPr>
            <w:r w:rsidRPr="00E9516D">
              <w:rPr>
                <w:rFonts w:hint="cs"/>
                <w:b/>
                <w:bCs/>
                <w:sz w:val="24"/>
                <w:szCs w:val="24"/>
                <w:rtl/>
              </w:rPr>
              <w:t>התגלית</w:t>
            </w:r>
          </w:p>
        </w:tc>
        <w:tc>
          <w:tcPr>
            <w:tcW w:w="7368" w:type="dxa"/>
          </w:tcPr>
          <w:p w14:paraId="6216620D" w14:textId="78F29970" w:rsidR="00445072" w:rsidRPr="00AC5DA2" w:rsidRDefault="00A856AD" w:rsidP="00DF2839">
            <w:pPr>
              <w:rPr>
                <w:sz w:val="24"/>
                <w:szCs w:val="24"/>
                <w:rtl/>
              </w:rPr>
            </w:pPr>
            <w:r w:rsidRPr="00AC5DA2">
              <w:rPr>
                <w:rFonts w:hint="cs"/>
                <w:sz w:val="24"/>
                <w:szCs w:val="24"/>
                <w:rtl/>
              </w:rPr>
              <w:t>א</w:t>
            </w:r>
            <w:r w:rsidR="005940D1">
              <w:rPr>
                <w:rFonts w:hint="cs"/>
                <w:sz w:val="24"/>
                <w:szCs w:val="24"/>
                <w:rtl/>
              </w:rPr>
              <w:t>ושרה התרופה אלליסו</w:t>
            </w:r>
            <w:r w:rsidR="005D1152">
              <w:rPr>
                <w:rFonts w:hint="cs"/>
                <w:sz w:val="24"/>
                <w:szCs w:val="24"/>
                <w:rtl/>
              </w:rPr>
              <w:t xml:space="preserve"> </w:t>
            </w:r>
            <w:r w:rsidR="005D1152">
              <w:rPr>
                <w:sz w:val="24"/>
                <w:szCs w:val="24"/>
              </w:rPr>
              <w:t>(Elelyso)</w:t>
            </w:r>
            <w:r w:rsidR="005D1152">
              <w:rPr>
                <w:rFonts w:hint="cs"/>
                <w:sz w:val="24"/>
                <w:szCs w:val="24"/>
                <w:rtl/>
              </w:rPr>
              <w:t xml:space="preserve">  </w:t>
            </w:r>
            <w:r w:rsidR="005940D1">
              <w:rPr>
                <w:rFonts w:hint="cs"/>
                <w:sz w:val="24"/>
                <w:szCs w:val="24"/>
                <w:rtl/>
              </w:rPr>
              <w:t xml:space="preserve">למחלת הגושה. </w:t>
            </w:r>
            <w:r w:rsidR="00DF2839">
              <w:rPr>
                <w:rFonts w:hint="cs"/>
                <w:sz w:val="24"/>
                <w:szCs w:val="24"/>
                <w:rtl/>
              </w:rPr>
              <w:t>התרופה מיוצרת בתרביות תאי צמחים</w:t>
            </w:r>
            <w:r w:rsidR="005940D1">
              <w:rPr>
                <w:rFonts w:hint="cs"/>
                <w:sz w:val="24"/>
                <w:szCs w:val="24"/>
                <w:rtl/>
              </w:rPr>
              <w:t xml:space="preserve"> בחברת "פרוטליקס". </w:t>
            </w:r>
          </w:p>
        </w:tc>
      </w:tr>
      <w:tr w:rsidR="00445072" w14:paraId="0AD1CAE3" w14:textId="77777777" w:rsidTr="00147C00">
        <w:trPr>
          <w:trHeight w:val="706"/>
        </w:trPr>
        <w:tc>
          <w:tcPr>
            <w:tcW w:w="1382" w:type="dxa"/>
          </w:tcPr>
          <w:p w14:paraId="4DB10634" w14:textId="77777777" w:rsidR="00445072" w:rsidRPr="00E9516D" w:rsidRDefault="00445072" w:rsidP="00147C00">
            <w:pPr>
              <w:rPr>
                <w:b/>
                <w:bCs/>
                <w:sz w:val="24"/>
                <w:szCs w:val="24"/>
                <w:rtl/>
              </w:rPr>
            </w:pPr>
            <w:r w:rsidRPr="00E9516D">
              <w:rPr>
                <w:rFonts w:hint="cs"/>
                <w:b/>
                <w:bCs/>
                <w:sz w:val="24"/>
                <w:szCs w:val="24"/>
                <w:rtl/>
              </w:rPr>
              <w:t>החוקרים המעורבים</w:t>
            </w:r>
          </w:p>
        </w:tc>
        <w:tc>
          <w:tcPr>
            <w:tcW w:w="7368" w:type="dxa"/>
          </w:tcPr>
          <w:p w14:paraId="1B47D13C" w14:textId="09A13A7A" w:rsidR="00445072" w:rsidRPr="00AC5DA2" w:rsidRDefault="00C25DEB" w:rsidP="00147C00">
            <w:pPr>
              <w:rPr>
                <w:sz w:val="24"/>
                <w:szCs w:val="24"/>
                <w:rtl/>
              </w:rPr>
            </w:pPr>
            <w:r>
              <w:rPr>
                <w:rFonts w:hint="cs"/>
                <w:sz w:val="24"/>
                <w:szCs w:val="24"/>
                <w:rtl/>
              </w:rPr>
              <w:t>ד"ר יוסף שאל</w:t>
            </w:r>
            <w:r w:rsidR="00A856AD" w:rsidRPr="00AC5DA2">
              <w:rPr>
                <w:rFonts w:hint="cs"/>
                <w:sz w:val="24"/>
                <w:szCs w:val="24"/>
                <w:rtl/>
              </w:rPr>
              <w:t>תיאל</w:t>
            </w:r>
          </w:p>
          <w:p w14:paraId="2D32A432" w14:textId="77777777" w:rsidR="00445072" w:rsidRPr="001D38E1" w:rsidRDefault="00445072" w:rsidP="00147C00">
            <w:pPr>
              <w:rPr>
                <w:b/>
                <w:bCs/>
                <w:sz w:val="24"/>
                <w:szCs w:val="24"/>
                <w:rtl/>
              </w:rPr>
            </w:pPr>
          </w:p>
        </w:tc>
      </w:tr>
      <w:tr w:rsidR="00445072" w14:paraId="6BB825FF" w14:textId="77777777" w:rsidTr="00147C00">
        <w:trPr>
          <w:trHeight w:val="664"/>
        </w:trPr>
        <w:tc>
          <w:tcPr>
            <w:tcW w:w="1382" w:type="dxa"/>
          </w:tcPr>
          <w:p w14:paraId="2D612D33" w14:textId="77777777" w:rsidR="00445072" w:rsidRPr="00E9516D" w:rsidRDefault="00445072" w:rsidP="00147C00">
            <w:pPr>
              <w:rPr>
                <w:b/>
                <w:bCs/>
                <w:sz w:val="24"/>
                <w:szCs w:val="24"/>
                <w:rtl/>
              </w:rPr>
            </w:pPr>
            <w:r w:rsidRPr="00E9516D">
              <w:rPr>
                <w:rFonts w:hint="cs"/>
                <w:b/>
                <w:bCs/>
                <w:sz w:val="24"/>
                <w:szCs w:val="24"/>
                <w:rtl/>
              </w:rPr>
              <w:t>תמונות החוקרים</w:t>
            </w:r>
          </w:p>
        </w:tc>
        <w:tc>
          <w:tcPr>
            <w:tcW w:w="7368" w:type="dxa"/>
          </w:tcPr>
          <w:p w14:paraId="040FC2FD" w14:textId="1E1ADE1F" w:rsidR="00445072" w:rsidRPr="003C63D2" w:rsidRDefault="003433C4" w:rsidP="00AC5DA2">
            <w:pPr>
              <w:rPr>
                <w:rtl/>
              </w:rPr>
            </w:pPr>
            <w:r>
              <w:rPr>
                <w:rFonts w:hint="cs"/>
                <w:rtl/>
              </w:rPr>
              <w:t xml:space="preserve"> </w:t>
            </w:r>
            <w:r w:rsidR="00515294" w:rsidRPr="00515294">
              <w:rPr>
                <w:rFonts w:cs="Arial"/>
                <w:noProof/>
                <w:rtl/>
              </w:rPr>
              <w:drawing>
                <wp:inline distT="0" distB="0" distL="0" distR="0" wp14:anchorId="21456580" wp14:editId="0B65427C">
                  <wp:extent cx="1238250" cy="1850655"/>
                  <wp:effectExtent l="0" t="0" r="0" b="0"/>
                  <wp:docPr id="1" name="תמונה 1" title="ד&quot;ר יוסף שאלתי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wnloads\_GAA0018.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241034" cy="1854817"/>
                          </a:xfrm>
                          <a:prstGeom prst="rect">
                            <a:avLst/>
                          </a:prstGeom>
                          <a:noFill/>
                          <a:ln>
                            <a:noFill/>
                          </a:ln>
                        </pic:spPr>
                      </pic:pic>
                    </a:graphicData>
                  </a:graphic>
                </wp:inline>
              </w:drawing>
            </w:r>
          </w:p>
        </w:tc>
      </w:tr>
      <w:tr w:rsidR="00445072" w14:paraId="03B2B25F" w14:textId="77777777" w:rsidTr="00147C00">
        <w:trPr>
          <w:trHeight w:val="706"/>
        </w:trPr>
        <w:tc>
          <w:tcPr>
            <w:tcW w:w="1382" w:type="dxa"/>
          </w:tcPr>
          <w:p w14:paraId="1296896C" w14:textId="77777777" w:rsidR="00445072" w:rsidRPr="00E9516D" w:rsidRDefault="00445072" w:rsidP="00147C00">
            <w:pPr>
              <w:rPr>
                <w:b/>
                <w:bCs/>
                <w:sz w:val="24"/>
                <w:szCs w:val="24"/>
                <w:rtl/>
              </w:rPr>
            </w:pPr>
            <w:r w:rsidRPr="00E9516D">
              <w:rPr>
                <w:rFonts w:hint="cs"/>
                <w:b/>
                <w:bCs/>
                <w:sz w:val="24"/>
                <w:szCs w:val="24"/>
                <w:rtl/>
              </w:rPr>
              <w:t>המוסד האקדמי בו עובדים החוקרים</w:t>
            </w:r>
          </w:p>
        </w:tc>
        <w:tc>
          <w:tcPr>
            <w:tcW w:w="7368" w:type="dxa"/>
          </w:tcPr>
          <w:p w14:paraId="3422A95C" w14:textId="5DE105CD" w:rsidR="00AC5DA2" w:rsidRDefault="003433C4" w:rsidP="00124E2E">
            <w:pPr>
              <w:rPr>
                <w:rtl/>
              </w:rPr>
            </w:pPr>
            <w:r>
              <w:rPr>
                <w:rFonts w:hint="cs"/>
                <w:rtl/>
              </w:rPr>
              <w:t xml:space="preserve">בעל תואר ד"ר בביוכימיה </w:t>
            </w:r>
            <w:r w:rsidR="00124E2E">
              <w:rPr>
                <w:rFonts w:hint="cs"/>
                <w:rtl/>
              </w:rPr>
              <w:t xml:space="preserve">של הצמח </w:t>
            </w:r>
            <w:r>
              <w:rPr>
                <w:rFonts w:hint="cs"/>
                <w:rtl/>
              </w:rPr>
              <w:t xml:space="preserve">ממכון וויצמן, </w:t>
            </w:r>
          </w:p>
          <w:p w14:paraId="30C7FFF2" w14:textId="564110D0" w:rsidR="00445072" w:rsidRPr="003C63D2" w:rsidRDefault="003433C4" w:rsidP="00E11CC4">
            <w:r>
              <w:rPr>
                <w:rFonts w:hint="cs"/>
                <w:rtl/>
              </w:rPr>
              <w:t xml:space="preserve">כיום </w:t>
            </w:r>
            <w:r w:rsidR="00E11CC4" w:rsidRPr="00DF2839">
              <w:rPr>
                <w:rFonts w:hint="cs"/>
                <w:rtl/>
              </w:rPr>
              <w:t>סמנכ"ל</w:t>
            </w:r>
            <w:r w:rsidR="00E11CC4">
              <w:rPr>
                <w:rFonts w:hint="cs"/>
                <w:rtl/>
              </w:rPr>
              <w:t xml:space="preserve"> מחקר ופיתוח</w:t>
            </w:r>
            <w:r>
              <w:rPr>
                <w:rFonts w:hint="cs"/>
                <w:rtl/>
              </w:rPr>
              <w:t xml:space="preserve"> בחברת פרוטליקס אותה הקים.</w:t>
            </w:r>
          </w:p>
        </w:tc>
      </w:tr>
      <w:tr w:rsidR="00445072" w14:paraId="0118A085" w14:textId="77777777" w:rsidTr="00147C00">
        <w:trPr>
          <w:trHeight w:val="706"/>
        </w:trPr>
        <w:tc>
          <w:tcPr>
            <w:tcW w:w="1382" w:type="dxa"/>
          </w:tcPr>
          <w:p w14:paraId="7971969D" w14:textId="77777777" w:rsidR="00445072" w:rsidRPr="00E9516D" w:rsidRDefault="00445072" w:rsidP="00147C00">
            <w:pPr>
              <w:rPr>
                <w:b/>
                <w:bCs/>
                <w:sz w:val="24"/>
                <w:szCs w:val="24"/>
                <w:rtl/>
              </w:rPr>
            </w:pPr>
            <w:r>
              <w:rPr>
                <w:rFonts w:hint="cs"/>
                <w:b/>
                <w:bCs/>
                <w:sz w:val="24"/>
                <w:szCs w:val="24"/>
                <w:rtl/>
              </w:rPr>
              <w:t>פרסים חשובים בהם זכו החוקרים</w:t>
            </w:r>
          </w:p>
        </w:tc>
        <w:tc>
          <w:tcPr>
            <w:tcW w:w="7368" w:type="dxa"/>
          </w:tcPr>
          <w:p w14:paraId="15ABF668" w14:textId="77777777" w:rsidR="00445072" w:rsidRPr="00F40B63" w:rsidRDefault="00445072" w:rsidP="00147C00">
            <w:pPr>
              <w:rPr>
                <w:rtl/>
              </w:rPr>
            </w:pPr>
          </w:p>
        </w:tc>
      </w:tr>
      <w:tr w:rsidR="00445072" w14:paraId="29EC215F" w14:textId="77777777" w:rsidTr="00147C00">
        <w:trPr>
          <w:trHeight w:val="664"/>
        </w:trPr>
        <w:tc>
          <w:tcPr>
            <w:tcW w:w="1382" w:type="dxa"/>
          </w:tcPr>
          <w:p w14:paraId="28D2AC4A" w14:textId="77777777" w:rsidR="00445072" w:rsidRPr="00E9516D" w:rsidRDefault="00445072" w:rsidP="00147C00">
            <w:pPr>
              <w:rPr>
                <w:b/>
                <w:bCs/>
                <w:sz w:val="24"/>
                <w:szCs w:val="24"/>
                <w:rtl/>
              </w:rPr>
            </w:pPr>
            <w:r w:rsidRPr="00E9516D">
              <w:rPr>
                <w:rFonts w:hint="cs"/>
                <w:b/>
                <w:bCs/>
                <w:sz w:val="24"/>
                <w:szCs w:val="24"/>
                <w:rtl/>
              </w:rPr>
              <w:t>נושא בתכנית הלימודים שניתן לקשר את התגלית אליו</w:t>
            </w:r>
          </w:p>
        </w:tc>
        <w:tc>
          <w:tcPr>
            <w:tcW w:w="7368" w:type="dxa"/>
          </w:tcPr>
          <w:p w14:paraId="01F1A446" w14:textId="77777777" w:rsidR="00076519" w:rsidRPr="00124E2E" w:rsidRDefault="00076519" w:rsidP="00147C00">
            <w:pPr>
              <w:rPr>
                <w:rFonts w:ascii="Arial" w:hAnsi="Arial" w:cs="Arial"/>
                <w:bCs/>
                <w:rtl/>
              </w:rPr>
            </w:pPr>
            <w:r w:rsidRPr="00124E2E">
              <w:rPr>
                <w:rFonts w:ascii="Arial" w:hAnsi="Arial" w:cs="Arial" w:hint="eastAsia"/>
                <w:bCs/>
                <w:rtl/>
              </w:rPr>
              <w:t>נושאי</w:t>
            </w:r>
            <w:r w:rsidRPr="00124E2E">
              <w:rPr>
                <w:rFonts w:ascii="Arial" w:hAnsi="Arial" w:cs="Arial"/>
                <w:bCs/>
                <w:rtl/>
              </w:rPr>
              <w:t xml:space="preserve"> </w:t>
            </w:r>
            <w:r w:rsidRPr="00124E2E">
              <w:rPr>
                <w:rFonts w:ascii="Arial" w:hAnsi="Arial" w:cs="Arial" w:hint="eastAsia"/>
                <w:bCs/>
                <w:rtl/>
              </w:rPr>
              <w:t>ליבה</w:t>
            </w:r>
          </w:p>
          <w:p w14:paraId="35285F89" w14:textId="6A3EAFF8" w:rsidR="00445072" w:rsidRPr="00124E2E" w:rsidRDefault="00900824" w:rsidP="00147C00">
            <w:pPr>
              <w:rPr>
                <w:rFonts w:ascii="Arial" w:hAnsi="Arial" w:cs="Arial"/>
                <w:b/>
                <w:u w:val="single"/>
                <w:rtl/>
              </w:rPr>
            </w:pPr>
            <w:r w:rsidRPr="00124E2E">
              <w:rPr>
                <w:rFonts w:ascii="Arial" w:hAnsi="Arial" w:cs="Arial" w:hint="cs"/>
                <w:b/>
                <w:u w:val="single"/>
                <w:rtl/>
              </w:rPr>
              <w:t xml:space="preserve">התא </w:t>
            </w:r>
            <w:r w:rsidRPr="00124E2E">
              <w:rPr>
                <w:rFonts w:ascii="Arial" w:hAnsi="Arial" w:cs="Arial"/>
                <w:b/>
                <w:u w:val="single"/>
                <w:rtl/>
              </w:rPr>
              <w:t>–</w:t>
            </w:r>
            <w:r w:rsidRPr="00124E2E">
              <w:rPr>
                <w:rFonts w:ascii="Arial" w:hAnsi="Arial" w:cs="Arial" w:hint="cs"/>
                <w:b/>
                <w:u w:val="single"/>
                <w:rtl/>
              </w:rPr>
              <w:t xml:space="preserve"> מבנה ופעילות:</w:t>
            </w:r>
          </w:p>
          <w:p w14:paraId="47028276" w14:textId="7414414D" w:rsidR="00E309CA" w:rsidRPr="00124E2E" w:rsidRDefault="00E309CA" w:rsidP="00E309CA">
            <w:pPr>
              <w:rPr>
                <w:rFonts w:ascii="Arial" w:hAnsi="Arial" w:cs="Arial"/>
                <w:b/>
                <w:rtl/>
              </w:rPr>
            </w:pPr>
            <w:r w:rsidRPr="00E309CA">
              <w:rPr>
                <w:rFonts w:ascii="Arial" w:hAnsi="Arial" w:cs="Arial"/>
                <w:b/>
                <w:rtl/>
              </w:rPr>
              <w:t>תורשה מנדלית</w:t>
            </w:r>
            <w:r>
              <w:rPr>
                <w:rFonts w:ascii="Arial" w:hAnsi="Arial" w:cs="Arial" w:hint="cs"/>
                <w:b/>
                <w:rtl/>
              </w:rPr>
              <w:t>:</w:t>
            </w:r>
            <w:r w:rsidRPr="00E309CA">
              <w:rPr>
                <w:rFonts w:ascii="Arial" w:hAnsi="Arial" w:cs="Arial"/>
                <w:b/>
                <w:rtl/>
              </w:rPr>
              <w:t xml:space="preserve"> גנטיקה במשפחת האדם</w:t>
            </w:r>
            <w:r>
              <w:rPr>
                <w:rFonts w:ascii="Arial" w:hAnsi="Arial" w:cs="Arial" w:hint="cs"/>
                <w:b/>
                <w:rtl/>
              </w:rPr>
              <w:t xml:space="preserve">, </w:t>
            </w:r>
            <w:r w:rsidRPr="00E309CA">
              <w:rPr>
                <w:rFonts w:ascii="Arial" w:hAnsi="Arial" w:cs="Arial"/>
                <w:b/>
                <w:rtl/>
              </w:rPr>
              <w:t>אלל רצסיבי</w:t>
            </w:r>
            <w:r>
              <w:rPr>
                <w:rFonts w:ascii="Arial" w:hAnsi="Arial" w:cs="Arial" w:hint="cs"/>
                <w:b/>
                <w:rtl/>
              </w:rPr>
              <w:t>.</w:t>
            </w:r>
          </w:p>
          <w:p w14:paraId="31DF353A" w14:textId="1F96389E" w:rsidR="00316370" w:rsidRDefault="00316370" w:rsidP="00E309CA">
            <w:pPr>
              <w:rPr>
                <w:rFonts w:ascii="Arial" w:hAnsi="Arial" w:cs="Arial"/>
                <w:b/>
                <w:rtl/>
              </w:rPr>
            </w:pPr>
            <w:r w:rsidRPr="00124E2E">
              <w:rPr>
                <w:rFonts w:ascii="Arial" w:hAnsi="Arial" w:cs="Arial" w:hint="cs"/>
                <w:b/>
                <w:rtl/>
              </w:rPr>
              <w:t>תורשה רפואה וחברה</w:t>
            </w:r>
            <w:r w:rsidR="00E309CA">
              <w:rPr>
                <w:rFonts w:ascii="Arial" w:hAnsi="Arial" w:cs="Arial" w:hint="cs"/>
                <w:b/>
                <w:rtl/>
              </w:rPr>
              <w:t xml:space="preserve">: </w:t>
            </w:r>
            <w:r w:rsidRPr="00124E2E">
              <w:rPr>
                <w:rFonts w:ascii="Arial" w:hAnsi="Arial" w:cs="Arial" w:hint="cs"/>
                <w:b/>
                <w:rtl/>
              </w:rPr>
              <w:t>הנדסה גנטית</w:t>
            </w:r>
            <w:r w:rsidR="00124E2E">
              <w:rPr>
                <w:rFonts w:ascii="Arial" w:hAnsi="Arial" w:cs="Arial" w:hint="cs"/>
                <w:b/>
                <w:rtl/>
              </w:rPr>
              <w:t xml:space="preserve">: </w:t>
            </w:r>
            <w:r w:rsidRPr="00124E2E">
              <w:rPr>
                <w:rFonts w:ascii="Arial" w:hAnsi="Arial" w:cs="Arial" w:hint="cs"/>
                <w:b/>
                <w:rtl/>
              </w:rPr>
              <w:t>דוגמה לי</w:t>
            </w:r>
            <w:r w:rsidR="00076519" w:rsidRPr="00124E2E">
              <w:rPr>
                <w:rFonts w:ascii="Arial" w:hAnsi="Arial" w:cs="Arial" w:hint="cs"/>
                <w:b/>
                <w:rtl/>
              </w:rPr>
              <w:t>י</w:t>
            </w:r>
            <w:r w:rsidRPr="00124E2E">
              <w:rPr>
                <w:rFonts w:ascii="Arial" w:hAnsi="Arial" w:cs="Arial" w:hint="cs"/>
                <w:b/>
                <w:rtl/>
              </w:rPr>
              <w:t>שום: ייצור חלבונים.</w:t>
            </w:r>
          </w:p>
          <w:p w14:paraId="2D392211" w14:textId="03DCC15E" w:rsidR="00076519" w:rsidRDefault="00076519" w:rsidP="00147C00">
            <w:pPr>
              <w:rPr>
                <w:rFonts w:ascii="Arial" w:hAnsi="Arial" w:cs="Arial"/>
                <w:b/>
                <w:u w:val="single"/>
                <w:rtl/>
              </w:rPr>
            </w:pPr>
          </w:p>
          <w:p w14:paraId="46F2E8CC" w14:textId="274F43EA" w:rsidR="00076519" w:rsidRPr="00124E2E" w:rsidRDefault="00076519" w:rsidP="00076519">
            <w:pPr>
              <w:rPr>
                <w:rFonts w:ascii="Arial" w:hAnsi="Arial" w:cs="Arial"/>
                <w:bCs/>
                <w:rtl/>
              </w:rPr>
            </w:pPr>
            <w:r w:rsidRPr="00124E2E">
              <w:rPr>
                <w:rFonts w:ascii="Arial" w:hAnsi="Arial" w:cs="Arial" w:hint="eastAsia"/>
                <w:bCs/>
                <w:rtl/>
              </w:rPr>
              <w:t>נושאי</w:t>
            </w:r>
            <w:r w:rsidRPr="00124E2E">
              <w:rPr>
                <w:rFonts w:ascii="Arial" w:hAnsi="Arial" w:cs="Arial"/>
                <w:bCs/>
                <w:rtl/>
              </w:rPr>
              <w:t xml:space="preserve"> </w:t>
            </w:r>
            <w:r w:rsidRPr="00124E2E">
              <w:rPr>
                <w:rFonts w:ascii="Arial" w:hAnsi="Arial" w:cs="Arial" w:hint="cs"/>
                <w:bCs/>
                <w:rtl/>
              </w:rPr>
              <w:t>העמקה</w:t>
            </w:r>
          </w:p>
          <w:p w14:paraId="68E5E924" w14:textId="26170438" w:rsidR="00900824" w:rsidRDefault="00076519" w:rsidP="00147C00">
            <w:pPr>
              <w:rPr>
                <w:rFonts w:ascii="Arial" w:hAnsi="Arial" w:cs="Arial"/>
                <w:b/>
                <w:u w:val="single"/>
                <w:rtl/>
              </w:rPr>
            </w:pPr>
            <w:r>
              <w:rPr>
                <w:rFonts w:ascii="Arial" w:hAnsi="Arial" w:cs="Arial" w:hint="cs"/>
                <w:b/>
                <w:u w:val="single"/>
                <w:rtl/>
              </w:rPr>
              <w:t>בקרה על ביטוי גנים והנדסה גנטית</w:t>
            </w:r>
          </w:p>
          <w:p w14:paraId="6E3DDA74" w14:textId="20AF1DC2" w:rsidR="00076519" w:rsidRPr="00124E2E" w:rsidRDefault="00076519" w:rsidP="00FD72CB">
            <w:pPr>
              <w:rPr>
                <w:rFonts w:ascii="Arial" w:hAnsi="Arial" w:cs="Arial"/>
                <w:b/>
                <w:rtl/>
              </w:rPr>
            </w:pPr>
            <w:r w:rsidRPr="00124E2E">
              <w:rPr>
                <w:rFonts w:ascii="Arial" w:hAnsi="Arial" w:cs="Arial" w:hint="cs"/>
                <w:b/>
                <w:rtl/>
              </w:rPr>
              <w:t>הקוד הגנטי ומנגנוני התעתוק והתרגום הם אוניברסלים, דבר המאפשר העברת גנים בשיטות של הנדסה גנטית בין מינים שונים</w:t>
            </w:r>
            <w:r w:rsidR="00FD72CB">
              <w:rPr>
                <w:rFonts w:ascii="Arial" w:hAnsi="Arial" w:cs="Arial" w:hint="cs"/>
                <w:b/>
                <w:rtl/>
              </w:rPr>
              <w:t xml:space="preserve">. </w:t>
            </w:r>
            <w:r w:rsidRPr="00124E2E">
              <w:rPr>
                <w:rFonts w:ascii="Arial" w:hAnsi="Arial" w:cs="Arial" w:hint="cs"/>
                <w:b/>
                <w:rtl/>
              </w:rPr>
              <w:t>יצורים טרנסגנים</w:t>
            </w:r>
            <w:r w:rsidR="00FD72CB">
              <w:rPr>
                <w:rFonts w:ascii="Arial" w:hAnsi="Arial" w:cs="Arial" w:hint="cs"/>
                <w:b/>
                <w:rtl/>
              </w:rPr>
              <w:t>.</w:t>
            </w:r>
          </w:p>
          <w:p w14:paraId="1D906E66" w14:textId="48E810CD" w:rsidR="00076519" w:rsidRPr="00124E2E" w:rsidRDefault="00076519" w:rsidP="00147C00">
            <w:pPr>
              <w:rPr>
                <w:rFonts w:ascii="Arial" w:hAnsi="Arial" w:cs="Arial"/>
                <w:b/>
                <w:rtl/>
              </w:rPr>
            </w:pPr>
          </w:p>
          <w:p w14:paraId="09D968D6" w14:textId="79155026" w:rsidR="00076519" w:rsidRPr="00124E2E" w:rsidRDefault="00076519" w:rsidP="00147C00">
            <w:pPr>
              <w:rPr>
                <w:rFonts w:ascii="Arial" w:hAnsi="Arial" w:cs="Arial"/>
                <w:b/>
                <w:rtl/>
              </w:rPr>
            </w:pPr>
            <w:r w:rsidRPr="00124E2E">
              <w:rPr>
                <w:rFonts w:ascii="Arial" w:hAnsi="Arial" w:cs="Arial" w:hint="cs"/>
                <w:b/>
                <w:rtl/>
              </w:rPr>
              <w:t>הידע בתורשה ובהנדסה גנטית מיושם בחקלאות, בתעשייה הביוטכנולוגית וברפואה</w:t>
            </w:r>
            <w:r w:rsidR="00FD72CB">
              <w:rPr>
                <w:rFonts w:ascii="Arial" w:hAnsi="Arial" w:cs="Arial" w:hint="cs"/>
                <w:b/>
                <w:rtl/>
              </w:rPr>
              <w:t>,</w:t>
            </w:r>
          </w:p>
          <w:p w14:paraId="0CA4D0D5" w14:textId="6D8F3F15" w:rsidR="00445072" w:rsidRPr="003C63D2" w:rsidRDefault="00076519" w:rsidP="00E309CA">
            <w:pPr>
              <w:rPr>
                <w:rFonts w:ascii="Arial" w:hAnsi="Arial" w:cs="Arial"/>
                <w:rtl/>
              </w:rPr>
            </w:pPr>
            <w:r w:rsidRPr="00124E2E">
              <w:rPr>
                <w:rFonts w:ascii="Arial" w:hAnsi="Arial" w:cs="Arial" w:hint="cs"/>
                <w:b/>
                <w:rtl/>
              </w:rPr>
              <w:t>ייצור חלבונים אנושיים בצמחים</w:t>
            </w:r>
            <w:r w:rsidR="00831D0B">
              <w:rPr>
                <w:rFonts w:ascii="Arial" w:hAnsi="Arial" w:cs="Arial" w:hint="cs"/>
                <w:b/>
                <w:rtl/>
              </w:rPr>
              <w:t>.</w:t>
            </w:r>
          </w:p>
        </w:tc>
      </w:tr>
      <w:tr w:rsidR="00445072" w14:paraId="3D3DD961" w14:textId="77777777" w:rsidTr="00147C00">
        <w:trPr>
          <w:trHeight w:val="706"/>
        </w:trPr>
        <w:tc>
          <w:tcPr>
            <w:tcW w:w="1382" w:type="dxa"/>
          </w:tcPr>
          <w:p w14:paraId="62C8F082" w14:textId="77777777" w:rsidR="00445072" w:rsidRPr="00E9516D" w:rsidRDefault="00445072" w:rsidP="00147C00">
            <w:pPr>
              <w:rPr>
                <w:b/>
                <w:bCs/>
                <w:rtl/>
              </w:rPr>
            </w:pPr>
            <w:r>
              <w:rPr>
                <w:rFonts w:hint="cs"/>
                <w:b/>
                <w:bCs/>
                <w:sz w:val="24"/>
                <w:szCs w:val="24"/>
                <w:rtl/>
              </w:rPr>
              <w:t>"סיפורה של תגלית"</w:t>
            </w:r>
            <w:r w:rsidRPr="00F720A3">
              <w:rPr>
                <w:rFonts w:hint="cs"/>
                <w:b/>
                <w:bCs/>
                <w:sz w:val="24"/>
                <w:szCs w:val="24"/>
                <w:rtl/>
              </w:rPr>
              <w:t xml:space="preserve"> </w:t>
            </w:r>
            <w:r w:rsidRPr="00BD5ED6">
              <w:rPr>
                <w:rFonts w:hint="cs"/>
                <w:rtl/>
              </w:rPr>
              <w:t>התגלית והעבודה המדעית של החוקרים</w:t>
            </w:r>
          </w:p>
        </w:tc>
        <w:tc>
          <w:tcPr>
            <w:tcW w:w="7368" w:type="dxa"/>
          </w:tcPr>
          <w:p w14:paraId="1058B493" w14:textId="3D31A6DA" w:rsidR="00482BBC" w:rsidRDefault="007929C7" w:rsidP="00445305">
            <w:pPr>
              <w:pStyle w:val="Heading3"/>
              <w:shd w:val="clear" w:color="auto" w:fill="FFFFFF"/>
              <w:bidi/>
              <w:spacing w:before="0" w:beforeAutospacing="0" w:after="0" w:afterAutospacing="0"/>
              <w:outlineLvl w:val="2"/>
              <w:rPr>
                <w:rFonts w:asciiTheme="minorHAnsi" w:eastAsiaTheme="minorHAnsi" w:hAnsiTheme="minorHAnsi" w:cstheme="minorBidi"/>
                <w:b w:val="0"/>
                <w:bCs w:val="0"/>
                <w:sz w:val="22"/>
                <w:szCs w:val="22"/>
                <w:rtl/>
              </w:rPr>
            </w:pPr>
            <w:r w:rsidRPr="005940D1">
              <w:rPr>
                <w:rFonts w:asciiTheme="minorHAnsi" w:eastAsiaTheme="minorHAnsi" w:hAnsiTheme="minorHAnsi" w:cstheme="minorBidi" w:hint="cs"/>
                <w:b w:val="0"/>
                <w:bCs w:val="0"/>
                <w:sz w:val="22"/>
                <w:szCs w:val="22"/>
                <w:rtl/>
              </w:rPr>
              <w:t>ד"ר יוסף שאלתיאל, מומחה לביוכימיה של הצמח ולטכנולוגיות של תרביות רקמה בצמחים הקים בשנת 1993 את חברת "</w:t>
            </w:r>
            <w:r w:rsidR="00BA04B0" w:rsidRPr="005940D1">
              <w:rPr>
                <w:rFonts w:asciiTheme="minorHAnsi" w:eastAsiaTheme="minorHAnsi" w:hAnsiTheme="minorHAnsi" w:cstheme="minorBidi" w:hint="cs"/>
                <w:b w:val="0"/>
                <w:bCs w:val="0"/>
                <w:sz w:val="22"/>
                <w:szCs w:val="22"/>
                <w:rtl/>
              </w:rPr>
              <w:t>פרוטליקס" (</w:t>
            </w:r>
            <w:r w:rsidR="00BA04B0" w:rsidRPr="005940D1">
              <w:rPr>
                <w:rFonts w:asciiTheme="minorHAnsi" w:eastAsiaTheme="minorHAnsi" w:hAnsiTheme="minorHAnsi" w:cstheme="minorBidi"/>
                <w:b w:val="0"/>
                <w:bCs w:val="0"/>
                <w:sz w:val="22"/>
                <w:szCs w:val="22"/>
              </w:rPr>
              <w:t>Protalix BioTherapeutics, Inc.</w:t>
            </w:r>
            <w:r w:rsidR="00BA04B0" w:rsidRPr="005940D1">
              <w:rPr>
                <w:rFonts w:asciiTheme="minorHAnsi" w:eastAsiaTheme="minorHAnsi" w:hAnsiTheme="minorHAnsi" w:cstheme="minorBidi" w:hint="cs"/>
                <w:b w:val="0"/>
                <w:bCs w:val="0"/>
                <w:sz w:val="22"/>
                <w:szCs w:val="22"/>
                <w:rtl/>
              </w:rPr>
              <w:t xml:space="preserve">). </w:t>
            </w:r>
            <w:r w:rsidR="003B74AE" w:rsidRPr="005940D1">
              <w:rPr>
                <w:rFonts w:asciiTheme="minorHAnsi" w:eastAsiaTheme="minorHAnsi" w:hAnsiTheme="minorHAnsi" w:cstheme="minorBidi"/>
                <w:b w:val="0"/>
                <w:bCs w:val="0"/>
                <w:sz w:val="22"/>
                <w:szCs w:val="22"/>
                <w:rtl/>
              </w:rPr>
              <w:br/>
            </w:r>
            <w:r w:rsidR="002A1CD6" w:rsidRPr="005940D1">
              <w:rPr>
                <w:rFonts w:asciiTheme="minorHAnsi" w:eastAsiaTheme="minorHAnsi" w:hAnsiTheme="minorHAnsi" w:cstheme="minorBidi" w:hint="cs"/>
                <w:b w:val="0"/>
                <w:bCs w:val="0"/>
                <w:sz w:val="22"/>
                <w:szCs w:val="22"/>
                <w:rtl/>
              </w:rPr>
              <w:t xml:space="preserve">חברה זו מתמקדת בפיתוח וייצור </w:t>
            </w:r>
            <w:r w:rsidR="002D27C4" w:rsidRPr="005940D1">
              <w:rPr>
                <w:rFonts w:asciiTheme="minorHAnsi" w:eastAsiaTheme="minorHAnsi" w:hAnsiTheme="minorHAnsi" w:cstheme="minorBidi" w:hint="cs"/>
                <w:b w:val="0"/>
                <w:bCs w:val="0"/>
                <w:sz w:val="22"/>
                <w:szCs w:val="22"/>
                <w:rtl/>
              </w:rPr>
              <w:t xml:space="preserve">מסחרי של חלבונים רקומביננטים </w:t>
            </w:r>
            <w:r w:rsidR="00E9707F" w:rsidRPr="005940D1">
              <w:rPr>
                <w:rFonts w:asciiTheme="minorHAnsi" w:eastAsiaTheme="minorHAnsi" w:hAnsiTheme="minorHAnsi" w:cstheme="minorBidi" w:hint="cs"/>
                <w:b w:val="0"/>
                <w:bCs w:val="0"/>
                <w:sz w:val="22"/>
                <w:szCs w:val="22"/>
                <w:rtl/>
              </w:rPr>
              <w:t>למטרות ריפוי. חלבונים אלו מיוצרים במערכת ייחודית ל</w:t>
            </w:r>
            <w:r w:rsidR="00653FF1">
              <w:rPr>
                <w:rFonts w:asciiTheme="minorHAnsi" w:eastAsiaTheme="minorHAnsi" w:hAnsiTheme="minorHAnsi" w:cstheme="minorBidi" w:hint="cs"/>
                <w:b w:val="0"/>
                <w:bCs w:val="0"/>
                <w:sz w:val="22"/>
                <w:szCs w:val="22"/>
                <w:rtl/>
              </w:rPr>
              <w:t xml:space="preserve">ביטוי חלבונים בתרבית תאים מצמח. </w:t>
            </w:r>
            <w:r w:rsidR="004B53FE">
              <w:rPr>
                <w:rFonts w:asciiTheme="minorHAnsi" w:eastAsiaTheme="minorHAnsi" w:hAnsiTheme="minorHAnsi" w:cstheme="minorBidi" w:hint="cs"/>
                <w:b w:val="0"/>
                <w:bCs w:val="0"/>
                <w:sz w:val="22"/>
                <w:szCs w:val="22"/>
                <w:rtl/>
              </w:rPr>
              <w:t>"</w:t>
            </w:r>
            <w:r w:rsidR="00E9707F" w:rsidRPr="005940D1">
              <w:rPr>
                <w:rFonts w:asciiTheme="minorHAnsi" w:eastAsiaTheme="minorHAnsi" w:hAnsiTheme="minorHAnsi" w:cstheme="minorBidi" w:hint="cs"/>
                <w:b w:val="0"/>
                <w:bCs w:val="0"/>
                <w:sz w:val="22"/>
                <w:szCs w:val="22"/>
                <w:rtl/>
              </w:rPr>
              <w:t>פרוטליקס</w:t>
            </w:r>
            <w:r w:rsidR="004B53FE">
              <w:rPr>
                <w:rFonts w:asciiTheme="minorHAnsi" w:eastAsiaTheme="minorHAnsi" w:hAnsiTheme="minorHAnsi" w:cstheme="minorBidi" w:hint="cs"/>
                <w:b w:val="0"/>
                <w:bCs w:val="0"/>
                <w:sz w:val="22"/>
                <w:szCs w:val="22"/>
                <w:rtl/>
              </w:rPr>
              <w:t>"</w:t>
            </w:r>
            <w:r w:rsidR="00E9707F" w:rsidRPr="005940D1">
              <w:rPr>
                <w:rFonts w:asciiTheme="minorHAnsi" w:eastAsiaTheme="minorHAnsi" w:hAnsiTheme="minorHAnsi" w:cstheme="minorBidi" w:hint="cs"/>
                <w:b w:val="0"/>
                <w:bCs w:val="0"/>
                <w:sz w:val="22"/>
                <w:szCs w:val="22"/>
                <w:rtl/>
              </w:rPr>
              <w:t xml:space="preserve"> הי</w:t>
            </w:r>
            <w:r w:rsidR="005940D1">
              <w:rPr>
                <w:rFonts w:asciiTheme="minorHAnsi" w:eastAsiaTheme="minorHAnsi" w:hAnsiTheme="minorHAnsi" w:cstheme="minorBidi" w:hint="cs"/>
                <w:b w:val="0"/>
                <w:bCs w:val="0"/>
                <w:sz w:val="22"/>
                <w:szCs w:val="22"/>
                <w:rtl/>
              </w:rPr>
              <w:t>נה החברה הראשונה שקיבלה אישור מ</w:t>
            </w:r>
            <w:hyperlink r:id="rId8" w:history="1">
              <w:r w:rsidR="005940D1" w:rsidRPr="005940D1">
                <w:rPr>
                  <w:rFonts w:asciiTheme="minorHAnsi" w:eastAsiaTheme="minorHAnsi" w:hAnsiTheme="minorHAnsi" w:cstheme="minorBidi"/>
                  <w:b w:val="0"/>
                  <w:bCs w:val="0"/>
                  <w:sz w:val="22"/>
                  <w:szCs w:val="22"/>
                  <w:rtl/>
                </w:rPr>
                <w:t>מנהל המזון והתרופות האמריקאי</w:t>
              </w:r>
            </w:hyperlink>
            <w:r w:rsidR="00E9707F" w:rsidRPr="00445305">
              <w:rPr>
                <w:rFonts w:asciiTheme="minorHAnsi" w:eastAsiaTheme="minorHAnsi" w:hAnsiTheme="minorHAnsi" w:cstheme="minorBidi" w:hint="cs"/>
                <w:b w:val="0"/>
                <w:bCs w:val="0"/>
                <w:sz w:val="22"/>
                <w:szCs w:val="22"/>
                <w:rtl/>
              </w:rPr>
              <w:t xml:space="preserve"> </w:t>
            </w:r>
            <w:r w:rsidR="005940D1" w:rsidRPr="00445305">
              <w:rPr>
                <w:rFonts w:asciiTheme="minorHAnsi" w:eastAsiaTheme="minorHAnsi" w:hAnsiTheme="minorHAnsi" w:cstheme="minorBidi"/>
                <w:b w:val="0"/>
                <w:bCs w:val="0"/>
                <w:sz w:val="22"/>
                <w:szCs w:val="22"/>
              </w:rPr>
              <w:t>(</w:t>
            </w:r>
            <w:r w:rsidR="00E9707F" w:rsidRPr="00445305">
              <w:rPr>
                <w:rFonts w:asciiTheme="minorHAnsi" w:eastAsiaTheme="minorHAnsi" w:hAnsiTheme="minorHAnsi" w:cstheme="minorBidi" w:hint="cs"/>
                <w:b w:val="0"/>
                <w:bCs w:val="0"/>
                <w:sz w:val="22"/>
                <w:szCs w:val="22"/>
              </w:rPr>
              <w:t>FDA</w:t>
            </w:r>
            <w:r w:rsidR="005940D1" w:rsidRPr="00445305">
              <w:rPr>
                <w:rFonts w:asciiTheme="minorHAnsi" w:eastAsiaTheme="minorHAnsi" w:hAnsiTheme="minorHAnsi" w:cstheme="minorBidi"/>
                <w:b w:val="0"/>
                <w:bCs w:val="0"/>
                <w:sz w:val="22"/>
                <w:szCs w:val="22"/>
              </w:rPr>
              <w:t>)</w:t>
            </w:r>
            <w:r w:rsidR="00E9707F" w:rsidRPr="00445305">
              <w:rPr>
                <w:rFonts w:asciiTheme="minorHAnsi" w:eastAsiaTheme="minorHAnsi" w:hAnsiTheme="minorHAnsi" w:cstheme="minorBidi" w:hint="cs"/>
                <w:b w:val="0"/>
                <w:bCs w:val="0"/>
                <w:sz w:val="22"/>
                <w:szCs w:val="22"/>
                <w:rtl/>
              </w:rPr>
              <w:t xml:space="preserve"> לתרופה המבוססת על חלבון המופק מתרבית של</w:t>
            </w:r>
            <w:r w:rsidR="002A5AB3" w:rsidRPr="00445305">
              <w:rPr>
                <w:rFonts w:asciiTheme="minorHAnsi" w:eastAsiaTheme="minorHAnsi" w:hAnsiTheme="minorHAnsi" w:cstheme="minorBidi" w:hint="cs"/>
                <w:b w:val="0"/>
                <w:bCs w:val="0"/>
                <w:sz w:val="22"/>
                <w:szCs w:val="22"/>
                <w:rtl/>
              </w:rPr>
              <w:t xml:space="preserve"> תאי צמחים. תרופה זו הנקראת "אללי</w:t>
            </w:r>
            <w:r w:rsidR="0035383E" w:rsidRPr="00445305">
              <w:rPr>
                <w:rFonts w:asciiTheme="minorHAnsi" w:eastAsiaTheme="minorHAnsi" w:hAnsiTheme="minorHAnsi" w:cstheme="minorBidi" w:hint="cs"/>
                <w:b w:val="0"/>
                <w:bCs w:val="0"/>
                <w:sz w:val="22"/>
                <w:szCs w:val="22"/>
                <w:rtl/>
              </w:rPr>
              <w:t>ס</w:t>
            </w:r>
            <w:r w:rsidR="00E9707F" w:rsidRPr="00445305">
              <w:rPr>
                <w:rFonts w:asciiTheme="minorHAnsi" w:eastAsiaTheme="minorHAnsi" w:hAnsiTheme="minorHAnsi" w:cstheme="minorBidi" w:hint="cs"/>
                <w:b w:val="0"/>
                <w:bCs w:val="0"/>
                <w:sz w:val="22"/>
                <w:szCs w:val="22"/>
                <w:rtl/>
              </w:rPr>
              <w:t>ו"</w:t>
            </w:r>
            <w:r w:rsidR="00BD5A9C" w:rsidRPr="00445305">
              <w:rPr>
                <w:rFonts w:asciiTheme="minorHAnsi" w:eastAsiaTheme="minorHAnsi" w:hAnsiTheme="minorHAnsi" w:cstheme="minorBidi" w:hint="cs"/>
                <w:b w:val="0"/>
                <w:bCs w:val="0"/>
                <w:sz w:val="22"/>
                <w:szCs w:val="22"/>
                <w:rtl/>
              </w:rPr>
              <w:t>, מיועדת ל</w:t>
            </w:r>
            <w:r w:rsidR="00482BBC" w:rsidRPr="00445305">
              <w:rPr>
                <w:rFonts w:asciiTheme="minorHAnsi" w:eastAsiaTheme="minorHAnsi" w:hAnsiTheme="minorHAnsi" w:cstheme="minorBidi" w:hint="cs"/>
                <w:b w:val="0"/>
                <w:bCs w:val="0"/>
                <w:sz w:val="22"/>
                <w:szCs w:val="22"/>
                <w:rtl/>
              </w:rPr>
              <w:t>חולים ב</w:t>
            </w:r>
            <w:r w:rsidR="00BD5A9C" w:rsidRPr="00445305">
              <w:rPr>
                <w:rFonts w:asciiTheme="minorHAnsi" w:eastAsiaTheme="minorHAnsi" w:hAnsiTheme="minorHAnsi" w:cstheme="minorBidi" w:hint="cs"/>
                <w:b w:val="0"/>
                <w:bCs w:val="0"/>
                <w:sz w:val="22"/>
                <w:szCs w:val="22"/>
                <w:rtl/>
              </w:rPr>
              <w:t>מחלת הגושה.</w:t>
            </w:r>
            <w:r w:rsidR="00BD5A9C" w:rsidRPr="005940D1">
              <w:rPr>
                <w:rFonts w:hint="cs"/>
                <w:b w:val="0"/>
                <w:bCs w:val="0"/>
                <w:rtl/>
              </w:rPr>
              <w:t xml:space="preserve"> </w:t>
            </w:r>
          </w:p>
          <w:p w14:paraId="34DADAC1" w14:textId="77777777" w:rsidR="00603991" w:rsidRPr="00445305" w:rsidRDefault="00603991" w:rsidP="00445305">
            <w:pPr>
              <w:pStyle w:val="Heading3"/>
              <w:shd w:val="clear" w:color="auto" w:fill="FFFFFF"/>
              <w:bidi/>
              <w:spacing w:before="0" w:beforeAutospacing="0" w:after="0" w:afterAutospacing="0"/>
              <w:outlineLvl w:val="2"/>
              <w:rPr>
                <w:rFonts w:asciiTheme="minorHAnsi" w:eastAsiaTheme="minorHAnsi" w:hAnsiTheme="minorHAnsi" w:cstheme="minorBidi"/>
                <w:b w:val="0"/>
                <w:bCs w:val="0"/>
                <w:sz w:val="22"/>
                <w:szCs w:val="22"/>
                <w:rtl/>
              </w:rPr>
            </w:pPr>
          </w:p>
          <w:p w14:paraId="779FC2B1" w14:textId="627D7EAD" w:rsidR="00482BBC" w:rsidRPr="005940D1" w:rsidRDefault="00BD5A9C" w:rsidP="00603991">
            <w:pPr>
              <w:shd w:val="clear" w:color="auto" w:fill="FFFFFF"/>
              <w:spacing w:after="150" w:line="276" w:lineRule="auto"/>
              <w:rPr>
                <w:rtl/>
              </w:rPr>
            </w:pPr>
            <w:r w:rsidRPr="005940D1">
              <w:rPr>
                <w:rFonts w:hint="cs"/>
                <w:rtl/>
              </w:rPr>
              <w:lastRenderedPageBreak/>
              <w:t>מחל</w:t>
            </w:r>
            <w:r w:rsidR="00603991">
              <w:rPr>
                <w:rFonts w:hint="cs"/>
                <w:rtl/>
              </w:rPr>
              <w:t>ת</w:t>
            </w:r>
            <w:r w:rsidRPr="005940D1">
              <w:rPr>
                <w:rFonts w:hint="cs"/>
                <w:rtl/>
              </w:rPr>
              <w:t xml:space="preserve"> </w:t>
            </w:r>
            <w:r w:rsidR="00482BBC" w:rsidRPr="005940D1">
              <w:rPr>
                <w:rFonts w:hint="cs"/>
                <w:rtl/>
              </w:rPr>
              <w:t xml:space="preserve">גושה </w:t>
            </w:r>
            <w:r w:rsidRPr="005940D1">
              <w:rPr>
                <w:rFonts w:hint="cs"/>
                <w:rtl/>
              </w:rPr>
              <w:t xml:space="preserve">הינה מחלה אוטוזומאלית רצסיבית, בעלת אחוז נשאים גבוה </w:t>
            </w:r>
            <w:r w:rsidR="00F760E4" w:rsidRPr="005940D1">
              <w:rPr>
                <w:rFonts w:hint="cs"/>
                <w:rtl/>
              </w:rPr>
              <w:t>באוכלוסייה היהודית אשכנזית (כ 1 ל 14)</w:t>
            </w:r>
            <w:r w:rsidR="00D21D06" w:rsidRPr="005940D1">
              <w:rPr>
                <w:rFonts w:hint="cs"/>
                <w:rtl/>
              </w:rPr>
              <w:t>.</w:t>
            </w:r>
            <w:r w:rsidR="00653FF1">
              <w:rPr>
                <w:rFonts w:hint="cs"/>
                <w:rtl/>
              </w:rPr>
              <w:t xml:space="preserve"> </w:t>
            </w:r>
            <w:r w:rsidRPr="005940D1">
              <w:rPr>
                <w:rFonts w:hint="cs"/>
                <w:rtl/>
              </w:rPr>
              <w:t xml:space="preserve">הודות לבדיקות סקר גנטיות </w:t>
            </w:r>
            <w:r w:rsidR="002474AB" w:rsidRPr="005940D1">
              <w:rPr>
                <w:rFonts w:hint="cs"/>
                <w:rtl/>
              </w:rPr>
              <w:t>לפני הריון, שיעור</w:t>
            </w:r>
            <w:r w:rsidR="00F760E4" w:rsidRPr="005940D1">
              <w:rPr>
                <w:rFonts w:hint="cs"/>
                <w:rtl/>
              </w:rPr>
              <w:t xml:space="preserve"> הלידות של חולים במחלה נמוך יחסית - בין 1 ל</w:t>
            </w:r>
            <w:r w:rsidR="00653FF1">
              <w:rPr>
                <w:rFonts w:hint="cs"/>
                <w:rtl/>
              </w:rPr>
              <w:t>-</w:t>
            </w:r>
            <w:r w:rsidR="00F760E4" w:rsidRPr="005940D1">
              <w:rPr>
                <w:rFonts w:hint="cs"/>
                <w:rtl/>
              </w:rPr>
              <w:t>500 ל 1 ל</w:t>
            </w:r>
            <w:r w:rsidR="00653FF1">
              <w:rPr>
                <w:rFonts w:hint="cs"/>
                <w:rtl/>
              </w:rPr>
              <w:t>-</w:t>
            </w:r>
            <w:r w:rsidR="00F760E4" w:rsidRPr="005940D1">
              <w:rPr>
                <w:rFonts w:hint="cs"/>
                <w:rtl/>
              </w:rPr>
              <w:t xml:space="preserve">1000 לידות </w:t>
            </w:r>
            <w:r w:rsidR="00482BBC" w:rsidRPr="005940D1">
              <w:rPr>
                <w:rFonts w:hint="cs"/>
                <w:rtl/>
              </w:rPr>
              <w:t xml:space="preserve">של </w:t>
            </w:r>
            <w:r w:rsidR="00F760E4" w:rsidRPr="005940D1">
              <w:rPr>
                <w:rFonts w:hint="cs"/>
                <w:rtl/>
              </w:rPr>
              <w:t>חולים בגושה מסוג 1, שהוא הסוג הנפוץ יותר.</w:t>
            </w:r>
            <w:r w:rsidR="009824E4" w:rsidRPr="005940D1">
              <w:rPr>
                <w:rFonts w:hint="cs"/>
                <w:rtl/>
              </w:rPr>
              <w:t xml:space="preserve"> במחלה זו ישנו פגם באנזים האחראי לפירוק שומנים כך שהאנזים חסר או מתפקד בצורה לקויה. במצב זה, אותם שומנים שאמורים להתפרק ע"י האנזים, מצטברים באברים פנימיים כמו כבד, טחול, מח העצם ומערכת העצבים</w:t>
            </w:r>
            <w:r w:rsidR="00884196" w:rsidRPr="005940D1">
              <w:rPr>
                <w:rFonts w:hint="cs"/>
                <w:rtl/>
              </w:rPr>
              <w:t xml:space="preserve">, נהיים רעילים </w:t>
            </w:r>
            <w:r w:rsidR="009824E4" w:rsidRPr="005940D1">
              <w:rPr>
                <w:rFonts w:hint="cs"/>
                <w:rtl/>
              </w:rPr>
              <w:t xml:space="preserve">וגורמים למחלות הקשורות לאברים אלו. </w:t>
            </w:r>
          </w:p>
          <w:p w14:paraId="5AF2CE0C" w14:textId="4D427592" w:rsidR="00BD0D70" w:rsidRPr="005940D1" w:rsidRDefault="009824E4" w:rsidP="00653FF1">
            <w:pPr>
              <w:shd w:val="clear" w:color="auto" w:fill="FFFFFF"/>
              <w:spacing w:after="150" w:line="276" w:lineRule="auto"/>
              <w:rPr>
                <w:rtl/>
              </w:rPr>
            </w:pPr>
            <w:r w:rsidRPr="005940D1">
              <w:rPr>
                <w:rFonts w:hint="cs"/>
                <w:rtl/>
              </w:rPr>
              <w:t xml:space="preserve">ישנם 3 סוגים </w:t>
            </w:r>
            <w:r w:rsidR="00482BBC" w:rsidRPr="005940D1">
              <w:rPr>
                <w:rFonts w:hint="cs"/>
                <w:rtl/>
              </w:rPr>
              <w:t>ש</w:t>
            </w:r>
            <w:r w:rsidRPr="005940D1">
              <w:rPr>
                <w:rFonts w:hint="cs"/>
                <w:rtl/>
              </w:rPr>
              <w:t>ל</w:t>
            </w:r>
            <w:r w:rsidR="00482BBC" w:rsidRPr="005940D1">
              <w:rPr>
                <w:rFonts w:hint="cs"/>
                <w:rtl/>
              </w:rPr>
              <w:t xml:space="preserve"> </w:t>
            </w:r>
            <w:r w:rsidRPr="005940D1">
              <w:rPr>
                <w:rFonts w:hint="cs"/>
                <w:rtl/>
              </w:rPr>
              <w:t xml:space="preserve">מחלת הגושה הנבדלים ביניהם ברמת החומרה של המחלה וזמן הופעתה. </w:t>
            </w:r>
            <w:r w:rsidR="00BD0D70" w:rsidRPr="005940D1">
              <w:rPr>
                <w:rFonts w:hint="cs"/>
                <w:rtl/>
              </w:rPr>
              <w:t>ב</w:t>
            </w:r>
            <w:r w:rsidRPr="005940D1">
              <w:rPr>
                <w:rFonts w:hint="cs"/>
                <w:rtl/>
              </w:rPr>
              <w:t>סוג 1 הנפוץ ביותר</w:t>
            </w:r>
            <w:r w:rsidR="00D21D06" w:rsidRPr="005940D1">
              <w:rPr>
                <w:rFonts w:hint="cs"/>
                <w:rtl/>
              </w:rPr>
              <w:t xml:space="preserve">, </w:t>
            </w:r>
            <w:r w:rsidRPr="005940D1">
              <w:rPr>
                <w:rFonts w:hint="cs"/>
                <w:rtl/>
              </w:rPr>
              <w:t>אין פגיעה במערכת העצבים והוא יכול להופיע מוקדם בילדות או בחיים הבוגרים. סוג</w:t>
            </w:r>
            <w:r w:rsidR="00BD0D70" w:rsidRPr="005940D1">
              <w:rPr>
                <w:rFonts w:hint="cs"/>
                <w:rtl/>
              </w:rPr>
              <w:t>ים</w:t>
            </w:r>
            <w:r w:rsidRPr="005940D1">
              <w:rPr>
                <w:rFonts w:hint="cs"/>
                <w:rtl/>
              </w:rPr>
              <w:t xml:space="preserve"> 2 ו</w:t>
            </w:r>
            <w:r w:rsidR="00653FF1">
              <w:rPr>
                <w:rFonts w:hint="cs"/>
                <w:rtl/>
              </w:rPr>
              <w:t>-</w:t>
            </w:r>
            <w:r w:rsidRPr="005940D1">
              <w:rPr>
                <w:rFonts w:hint="cs"/>
                <w:rtl/>
              </w:rPr>
              <w:t xml:space="preserve">3 הם חמורים </w:t>
            </w:r>
            <w:r w:rsidR="00BD0D70" w:rsidRPr="005940D1">
              <w:rPr>
                <w:rFonts w:hint="cs"/>
                <w:rtl/>
              </w:rPr>
              <w:t xml:space="preserve">יותר </w:t>
            </w:r>
            <w:r w:rsidRPr="005940D1">
              <w:rPr>
                <w:rFonts w:hint="cs"/>
                <w:rtl/>
              </w:rPr>
              <w:t xml:space="preserve">כיוון שהם פוגעים במערכת העצבים, אך הם גם פחות נפוצים. </w:t>
            </w:r>
          </w:p>
          <w:p w14:paraId="1111D4CB" w14:textId="44955844" w:rsidR="00CB3FF7" w:rsidRPr="005940D1" w:rsidRDefault="009824E4" w:rsidP="00DF2839">
            <w:pPr>
              <w:shd w:val="clear" w:color="auto" w:fill="FFFFFF"/>
              <w:spacing w:after="150" w:line="276" w:lineRule="auto"/>
              <w:rPr>
                <w:rtl/>
              </w:rPr>
            </w:pPr>
            <w:r w:rsidRPr="005940D1">
              <w:rPr>
                <w:rFonts w:hint="cs"/>
                <w:rtl/>
              </w:rPr>
              <w:t xml:space="preserve">הגן הפגוע במחלה נקרא </w:t>
            </w:r>
            <w:r w:rsidRPr="005940D1">
              <w:rPr>
                <w:rFonts w:hint="cs"/>
              </w:rPr>
              <w:t>GBA</w:t>
            </w:r>
            <w:r w:rsidR="00884196" w:rsidRPr="005940D1">
              <w:rPr>
                <w:rFonts w:hint="cs"/>
                <w:rtl/>
              </w:rPr>
              <w:t xml:space="preserve"> </w:t>
            </w:r>
            <w:r w:rsidR="006C4E15" w:rsidRPr="005940D1">
              <w:rPr>
                <w:rFonts w:hint="cs"/>
                <w:rtl/>
              </w:rPr>
              <w:t>(</w:t>
            </w:r>
            <w:r w:rsidR="006C4E15" w:rsidRPr="005940D1">
              <w:t>glucosylceramidase beta</w:t>
            </w:r>
            <w:r w:rsidR="006C4E15" w:rsidRPr="005940D1">
              <w:rPr>
                <w:rFonts w:hint="cs"/>
                <w:rtl/>
              </w:rPr>
              <w:t>)</w:t>
            </w:r>
            <w:r w:rsidR="006C4E15" w:rsidRPr="005940D1">
              <w:rPr>
                <w:rFonts w:hint="cs"/>
              </w:rPr>
              <w:t xml:space="preserve"> </w:t>
            </w:r>
            <w:r w:rsidR="00BD0D70" w:rsidRPr="005940D1">
              <w:rPr>
                <w:rFonts w:hint="cs"/>
                <w:rtl/>
              </w:rPr>
              <w:t xml:space="preserve">והוא </w:t>
            </w:r>
            <w:r w:rsidR="00884196" w:rsidRPr="005940D1">
              <w:rPr>
                <w:rFonts w:hint="cs"/>
                <w:rtl/>
              </w:rPr>
              <w:t xml:space="preserve">משפיע על </w:t>
            </w:r>
            <w:r w:rsidR="00BD0D70" w:rsidRPr="005940D1">
              <w:rPr>
                <w:rFonts w:hint="cs"/>
                <w:rtl/>
              </w:rPr>
              <w:t xml:space="preserve">כמות </w:t>
            </w:r>
            <w:r w:rsidR="00884196" w:rsidRPr="005940D1">
              <w:rPr>
                <w:rFonts w:hint="cs"/>
                <w:rtl/>
              </w:rPr>
              <w:t>או תקינות האנזים גלוקוסרברוזידאז (</w:t>
            </w:r>
            <w:r w:rsidR="00884196" w:rsidRPr="005940D1">
              <w:rPr>
                <w:rFonts w:hint="cs"/>
              </w:rPr>
              <w:t>GCD</w:t>
            </w:r>
            <w:r w:rsidR="006C4E15" w:rsidRPr="005940D1">
              <w:t xml:space="preserve"> - glucocerebrosidase</w:t>
            </w:r>
            <w:r w:rsidR="00884196" w:rsidRPr="005940D1">
              <w:rPr>
                <w:rFonts w:hint="cs"/>
                <w:rtl/>
              </w:rPr>
              <w:t>). הטיפול הנפוץ במחלה הוא ע"י טכניקה של החלפת אנזים (</w:t>
            </w:r>
            <w:r w:rsidR="00884196" w:rsidRPr="005940D1">
              <w:rPr>
                <w:rFonts w:hint="cs"/>
              </w:rPr>
              <w:t>ERT</w:t>
            </w:r>
            <w:r w:rsidR="00884196" w:rsidRPr="005940D1">
              <w:rPr>
                <w:rFonts w:hint="cs"/>
                <w:rtl/>
              </w:rPr>
              <w:t xml:space="preserve">), כאשר אנזים רקומביננטי תקין מוזרק לחולים. </w:t>
            </w:r>
          </w:p>
          <w:p w14:paraId="69DC5EEC" w14:textId="4384C003" w:rsidR="00CB3FF7" w:rsidRPr="005940D1" w:rsidRDefault="001028D7" w:rsidP="0044277E">
            <w:pPr>
              <w:shd w:val="clear" w:color="auto" w:fill="FFFFFF"/>
              <w:spacing w:after="150" w:line="276" w:lineRule="auto"/>
              <w:rPr>
                <w:rtl/>
              </w:rPr>
            </w:pPr>
            <w:r w:rsidRPr="005940D1">
              <w:rPr>
                <w:rFonts w:hint="cs"/>
                <w:rtl/>
              </w:rPr>
              <w:t>תרופת האל</w:t>
            </w:r>
            <w:r w:rsidR="002A5AB3" w:rsidRPr="005940D1">
              <w:rPr>
                <w:rFonts w:hint="cs"/>
                <w:rtl/>
              </w:rPr>
              <w:t>ל</w:t>
            </w:r>
            <w:r w:rsidR="0035383E">
              <w:rPr>
                <w:rFonts w:hint="cs"/>
                <w:rtl/>
              </w:rPr>
              <w:t>יס</w:t>
            </w:r>
            <w:r w:rsidRPr="005940D1">
              <w:rPr>
                <w:rFonts w:hint="cs"/>
                <w:rtl/>
              </w:rPr>
              <w:t>ו</w:t>
            </w:r>
            <w:r w:rsidR="00BE33D2" w:rsidRPr="005940D1">
              <w:rPr>
                <w:rFonts w:hint="cs"/>
                <w:rtl/>
              </w:rPr>
              <w:t xml:space="preserve"> פותחה על בסיס מחקר פורץ דרך של </w:t>
            </w:r>
            <w:r w:rsidR="0044277E" w:rsidRPr="005940D1">
              <w:rPr>
                <w:rFonts w:hint="cs"/>
                <w:rtl/>
              </w:rPr>
              <w:t xml:space="preserve">ד"ר שאלתיאל, שהוביל לפיתוח מערכת לביטוי חלבונים בתרביות של תאי צמחים. תרופה זו המיוצרת ע"י </w:t>
            </w:r>
            <w:r w:rsidR="009C2DFD" w:rsidRPr="005940D1">
              <w:rPr>
                <w:rFonts w:hint="cs"/>
                <w:rtl/>
              </w:rPr>
              <w:t xml:space="preserve">החברה הישראלית </w:t>
            </w:r>
            <w:r w:rsidR="004B53FE">
              <w:rPr>
                <w:rFonts w:hint="cs"/>
                <w:rtl/>
              </w:rPr>
              <w:t>"</w:t>
            </w:r>
            <w:r w:rsidR="0044277E" w:rsidRPr="005940D1">
              <w:rPr>
                <w:rFonts w:hint="cs"/>
                <w:rtl/>
              </w:rPr>
              <w:t>פרוטליקס</w:t>
            </w:r>
            <w:r w:rsidR="004B53FE">
              <w:rPr>
                <w:rFonts w:hint="cs"/>
                <w:rtl/>
              </w:rPr>
              <w:t>"</w:t>
            </w:r>
            <w:r w:rsidR="00CB3FF7" w:rsidRPr="005940D1">
              <w:rPr>
                <w:rFonts w:hint="cs"/>
                <w:rtl/>
              </w:rPr>
              <w:t xml:space="preserve"> היא אנזים </w:t>
            </w:r>
            <w:r w:rsidR="00CB3FF7" w:rsidRPr="005940D1">
              <w:rPr>
                <w:rFonts w:hint="cs"/>
              </w:rPr>
              <w:t>GCD</w:t>
            </w:r>
            <w:r w:rsidR="00CB3FF7" w:rsidRPr="005940D1">
              <w:rPr>
                <w:rFonts w:hint="cs"/>
                <w:rtl/>
              </w:rPr>
              <w:t xml:space="preserve"> רקומביננטי</w:t>
            </w:r>
            <w:r w:rsidRPr="005940D1">
              <w:rPr>
                <w:rFonts w:hint="cs"/>
                <w:rtl/>
              </w:rPr>
              <w:t xml:space="preserve">, </w:t>
            </w:r>
            <w:r w:rsidR="00CB3FF7" w:rsidRPr="005940D1">
              <w:rPr>
                <w:rFonts w:hint="cs"/>
                <w:rtl/>
              </w:rPr>
              <w:t xml:space="preserve">אשר </w:t>
            </w:r>
            <w:r w:rsidRPr="005940D1">
              <w:rPr>
                <w:rFonts w:hint="cs"/>
                <w:rtl/>
              </w:rPr>
              <w:t xml:space="preserve">מופק </w:t>
            </w:r>
            <w:r w:rsidR="00CB3FF7" w:rsidRPr="005940D1">
              <w:rPr>
                <w:rFonts w:hint="cs"/>
                <w:rtl/>
              </w:rPr>
              <w:t xml:space="preserve">ממערכת </w:t>
            </w:r>
            <w:r w:rsidRPr="005940D1">
              <w:rPr>
                <w:rFonts w:hint="cs"/>
                <w:rtl/>
              </w:rPr>
              <w:t>של תרביות תאי צמחים</w:t>
            </w:r>
            <w:r w:rsidR="00CB3FF7" w:rsidRPr="005940D1">
              <w:rPr>
                <w:rFonts w:hint="cs"/>
                <w:rtl/>
              </w:rPr>
              <w:t xml:space="preserve">. על מנת ליצור את האנזים הרקומביננטי, מוחדר רצף הדנ"א של הגן </w:t>
            </w:r>
            <w:r w:rsidR="00CB3FF7" w:rsidRPr="005940D1">
              <w:rPr>
                <w:rFonts w:hint="cs"/>
              </w:rPr>
              <w:t>GBA</w:t>
            </w:r>
            <w:r w:rsidR="00CB3FF7" w:rsidRPr="005940D1">
              <w:rPr>
                <w:rFonts w:hint="cs"/>
                <w:rtl/>
              </w:rPr>
              <w:t xml:space="preserve"> התקין לתוך תאי הצמח (גזר), שם הוא יכול לעבור ביטוי ולהיות מתורגם לאנזים </w:t>
            </w:r>
            <w:r w:rsidR="00CB3FF7" w:rsidRPr="005940D1">
              <w:rPr>
                <w:rFonts w:hint="cs"/>
              </w:rPr>
              <w:t>GCD</w:t>
            </w:r>
            <w:r w:rsidR="00CB3FF7" w:rsidRPr="005940D1">
              <w:rPr>
                <w:rFonts w:hint="cs"/>
                <w:rtl/>
              </w:rPr>
              <w:t xml:space="preserve"> התקין, הודות לאחידות הקוד הגנטי. ע"י שמירה וגידול מתמיד של תרבית הרקמה, ניתן להפיק כמויות גדולות של האנזים.</w:t>
            </w:r>
          </w:p>
          <w:p w14:paraId="0B4CF06B" w14:textId="284C2CB9" w:rsidR="00445072" w:rsidRPr="005940D1" w:rsidRDefault="00CB3FF7" w:rsidP="004B53FE">
            <w:pPr>
              <w:shd w:val="clear" w:color="auto" w:fill="FFFFFF"/>
              <w:spacing w:after="150" w:line="276" w:lineRule="auto"/>
              <w:rPr>
                <w:rtl/>
              </w:rPr>
            </w:pPr>
            <w:r w:rsidRPr="005940D1">
              <w:rPr>
                <w:rFonts w:hint="cs"/>
                <w:rtl/>
              </w:rPr>
              <w:t xml:space="preserve">למערכת </w:t>
            </w:r>
            <w:r w:rsidR="00651B92">
              <w:rPr>
                <w:rFonts w:hint="cs"/>
                <w:rtl/>
              </w:rPr>
              <w:t xml:space="preserve">ביטוי חלבונים </w:t>
            </w:r>
            <w:r w:rsidRPr="005940D1">
              <w:rPr>
                <w:rFonts w:hint="cs"/>
                <w:rtl/>
              </w:rPr>
              <w:t xml:space="preserve">של תרביות תאי צמחים </w:t>
            </w:r>
            <w:r w:rsidR="001028D7" w:rsidRPr="005940D1">
              <w:rPr>
                <w:rFonts w:hint="cs"/>
                <w:rtl/>
              </w:rPr>
              <w:t>מספר יתרונות</w:t>
            </w:r>
            <w:r w:rsidRPr="005940D1">
              <w:rPr>
                <w:rFonts w:hint="cs"/>
                <w:rtl/>
              </w:rPr>
              <w:t xml:space="preserve"> על פני מערכות אחרות בהן מבטאים חלבונים רקומביננטים</w:t>
            </w:r>
            <w:r w:rsidR="001028D7" w:rsidRPr="005940D1">
              <w:rPr>
                <w:rFonts w:hint="cs"/>
                <w:rtl/>
              </w:rPr>
              <w:t>: תרביות של תאי צמחים קלות יותר לטיפול ועל כן זולות יותר מאשר תרביות תאי יונקים</w:t>
            </w:r>
            <w:r w:rsidR="002A5AB3" w:rsidRPr="005940D1">
              <w:rPr>
                <w:rFonts w:hint="cs"/>
                <w:rtl/>
              </w:rPr>
              <w:t xml:space="preserve">. </w:t>
            </w:r>
            <w:r w:rsidR="001028D7" w:rsidRPr="005940D1">
              <w:rPr>
                <w:rFonts w:hint="cs"/>
                <w:rtl/>
              </w:rPr>
              <w:t>בנוסף</w:t>
            </w:r>
            <w:r w:rsidR="005B760B">
              <w:rPr>
                <w:rFonts w:hint="cs"/>
                <w:rtl/>
              </w:rPr>
              <w:t>,</w:t>
            </w:r>
            <w:r w:rsidR="001028D7" w:rsidRPr="005940D1">
              <w:rPr>
                <w:rFonts w:hint="cs"/>
                <w:rtl/>
              </w:rPr>
              <w:t xml:space="preserve"> במערכת זו ניתן לבטא חלבונים שקשה לבטא במערכות אחרות </w:t>
            </w:r>
            <w:r w:rsidR="00501444" w:rsidRPr="005940D1">
              <w:rPr>
                <w:rFonts w:hint="cs"/>
                <w:rtl/>
              </w:rPr>
              <w:t xml:space="preserve">וגם </w:t>
            </w:r>
            <w:r w:rsidR="001028D7" w:rsidRPr="005940D1">
              <w:rPr>
                <w:rFonts w:hint="cs"/>
                <w:rtl/>
              </w:rPr>
              <w:t xml:space="preserve">ניתן להגיע מהר יותר לשלב של בדיקות קליניות </w:t>
            </w:r>
            <w:r w:rsidR="00E64C36">
              <w:rPr>
                <w:rFonts w:hint="cs"/>
                <w:rtl/>
              </w:rPr>
              <w:t xml:space="preserve">עם חלבונים שמבוטאים במערכת </w:t>
            </w:r>
            <w:r w:rsidR="005B760B">
              <w:rPr>
                <w:rFonts w:hint="cs"/>
                <w:rtl/>
              </w:rPr>
              <w:t xml:space="preserve">זו, </w:t>
            </w:r>
            <w:r w:rsidR="001028D7" w:rsidRPr="005940D1">
              <w:rPr>
                <w:rFonts w:hint="cs"/>
                <w:rtl/>
              </w:rPr>
              <w:t xml:space="preserve">מאשר במערכות </w:t>
            </w:r>
            <w:r w:rsidR="004B53FE">
              <w:rPr>
                <w:rFonts w:hint="cs"/>
                <w:rtl/>
              </w:rPr>
              <w:t xml:space="preserve">ביטוי </w:t>
            </w:r>
            <w:r w:rsidR="001028D7" w:rsidRPr="005940D1">
              <w:rPr>
                <w:rFonts w:hint="cs"/>
                <w:rtl/>
              </w:rPr>
              <w:t xml:space="preserve">אחרות. </w:t>
            </w:r>
          </w:p>
          <w:p w14:paraId="60B245E0" w14:textId="7548D841" w:rsidR="00E11CC4" w:rsidRPr="005940D1" w:rsidRDefault="00E11CC4" w:rsidP="00E64C36">
            <w:pPr>
              <w:shd w:val="clear" w:color="auto" w:fill="FFFFFF"/>
              <w:spacing w:after="150" w:line="276" w:lineRule="auto"/>
              <w:rPr>
                <w:rtl/>
              </w:rPr>
            </w:pPr>
            <w:r w:rsidRPr="005940D1">
              <w:rPr>
                <w:rFonts w:hint="cs"/>
                <w:rtl/>
              </w:rPr>
              <w:t xml:space="preserve">ב </w:t>
            </w:r>
            <w:r w:rsidRPr="005940D1">
              <w:t>1.5.2012</w:t>
            </w:r>
            <w:r w:rsidR="00D22270" w:rsidRPr="005940D1">
              <w:rPr>
                <w:rFonts w:hint="cs"/>
                <w:rtl/>
              </w:rPr>
              <w:t xml:space="preserve"> מנהל המזון והתרופות האמריקאי, ה </w:t>
            </w:r>
            <w:r w:rsidR="00D22270" w:rsidRPr="005940D1">
              <w:rPr>
                <w:rFonts w:hint="cs"/>
              </w:rPr>
              <w:t>FDA</w:t>
            </w:r>
            <w:r w:rsidR="00E64C36">
              <w:rPr>
                <w:rFonts w:hint="cs"/>
                <w:rtl/>
              </w:rPr>
              <w:t xml:space="preserve">, אישר את </w:t>
            </w:r>
            <w:r w:rsidR="004B53FE">
              <w:rPr>
                <w:rFonts w:hint="cs"/>
                <w:rtl/>
              </w:rPr>
              <w:t>אלליס</w:t>
            </w:r>
            <w:r w:rsidR="00D22270" w:rsidRPr="005940D1">
              <w:rPr>
                <w:rFonts w:hint="cs"/>
                <w:rtl/>
              </w:rPr>
              <w:t>ו כתרופה ה</w:t>
            </w:r>
            <w:r w:rsidR="00DF2839">
              <w:rPr>
                <w:rFonts w:hint="cs"/>
                <w:rtl/>
              </w:rPr>
              <w:t>ניתנת בהזרקה, לטיפול ארוך טווח ב</w:t>
            </w:r>
            <w:r w:rsidR="00D22270" w:rsidRPr="005940D1">
              <w:rPr>
                <w:rFonts w:hint="cs"/>
                <w:rtl/>
              </w:rPr>
              <w:t xml:space="preserve">מבוגרים החולים במחלת גושה מסוג 1. זוהי התרופה הראשונה של החברה שאושרה, אשר פותחה באמצעות מערכת </w:t>
            </w:r>
            <w:r w:rsidR="00D22270" w:rsidRPr="005940D1">
              <w:t>ProCellEx</w:t>
            </w:r>
            <w:r w:rsidR="00D22270" w:rsidRPr="005940D1">
              <w:rPr>
                <w:rFonts w:hint="cs"/>
                <w:rtl/>
              </w:rPr>
              <w:t xml:space="preserve"> של חברת פרוטליקס</w:t>
            </w:r>
            <w:r w:rsidR="00D22270" w:rsidRPr="005940D1">
              <w:rPr>
                <w:rtl/>
              </w:rPr>
              <w:t>–</w:t>
            </w:r>
            <w:r w:rsidR="00D22270" w:rsidRPr="005940D1">
              <w:rPr>
                <w:rFonts w:hint="cs"/>
                <w:rtl/>
              </w:rPr>
              <w:t xml:space="preserve"> מערכת להפקה מסחרית של חלבונים באמצעות תרבית של תאי צמח. </w:t>
            </w:r>
            <w:r w:rsidR="00D22270" w:rsidRPr="005940D1">
              <w:rPr>
                <w:rtl/>
              </w:rPr>
              <w:br/>
            </w:r>
            <w:r w:rsidR="00D22270" w:rsidRPr="005940D1">
              <w:rPr>
                <w:rFonts w:hint="cs"/>
                <w:rtl/>
              </w:rPr>
              <w:t xml:space="preserve">מחקרים קליניים ראשונים, כבר הראו את ההשפעות החיוביות של התרופה על מבוגרים החולים במחלה, כמו גם על ילדים: </w:t>
            </w:r>
            <w:r w:rsidR="00A91E4B" w:rsidRPr="005940D1">
              <w:rPr>
                <w:rFonts w:hint="cs"/>
                <w:rtl/>
              </w:rPr>
              <w:t>במחקר שנמשך תקופה כוללת של שנתיים, החולים הראו ירידה בגודל הממוצע של הטחול והכבד ועליה ברמות ההמוגלובין ומספר הטסיות. כלומר, מדדים אלו שבד"כ אינם תקינים בחולים בגושה מסוג 1</w:t>
            </w:r>
            <w:r w:rsidR="00E64C36">
              <w:rPr>
                <w:rFonts w:hint="cs"/>
                <w:rtl/>
              </w:rPr>
              <w:t>,</w:t>
            </w:r>
            <w:r w:rsidR="00A91E4B" w:rsidRPr="005940D1">
              <w:rPr>
                <w:rFonts w:hint="cs"/>
                <w:rtl/>
              </w:rPr>
              <w:t xml:space="preserve"> הראו שיפור </w:t>
            </w:r>
            <w:r w:rsidR="00E64C36">
              <w:rPr>
                <w:rFonts w:hint="cs"/>
                <w:rtl/>
              </w:rPr>
              <w:t>ו</w:t>
            </w:r>
            <w:r w:rsidR="00A91E4B" w:rsidRPr="005940D1">
              <w:rPr>
                <w:rFonts w:hint="cs"/>
                <w:rtl/>
              </w:rPr>
              <w:t>רמ</w:t>
            </w:r>
            <w:r w:rsidR="00E64C36">
              <w:rPr>
                <w:rFonts w:hint="cs"/>
                <w:rtl/>
              </w:rPr>
              <w:t>תם הייתה קרובה יותר לרמה</w:t>
            </w:r>
            <w:r w:rsidR="00A91E4B" w:rsidRPr="005940D1">
              <w:rPr>
                <w:rFonts w:hint="cs"/>
                <w:rtl/>
              </w:rPr>
              <w:t xml:space="preserve"> </w:t>
            </w:r>
            <w:r w:rsidR="00E64C36">
              <w:rPr>
                <w:rFonts w:hint="cs"/>
                <w:rtl/>
              </w:rPr>
              <w:t>ה</w:t>
            </w:r>
            <w:r w:rsidR="00A91E4B" w:rsidRPr="005940D1">
              <w:rPr>
                <w:rFonts w:hint="cs"/>
                <w:rtl/>
              </w:rPr>
              <w:t xml:space="preserve">תקינה. </w:t>
            </w:r>
          </w:p>
          <w:p w14:paraId="51BF9181" w14:textId="04D669FD" w:rsidR="00501444" w:rsidRPr="005940D1" w:rsidRDefault="00E64C36" w:rsidP="009C2DFD">
            <w:pPr>
              <w:shd w:val="clear" w:color="auto" w:fill="FFFFFF"/>
              <w:spacing w:after="150" w:line="276" w:lineRule="auto"/>
            </w:pPr>
            <w:r>
              <w:rPr>
                <w:rFonts w:hint="cs"/>
                <w:rtl/>
              </w:rPr>
              <w:t>אלליס</w:t>
            </w:r>
            <w:r w:rsidR="00A91E4B" w:rsidRPr="005940D1">
              <w:rPr>
                <w:rFonts w:hint="cs"/>
                <w:rtl/>
              </w:rPr>
              <w:t>ו היא תרופת המרשם הראשונה שקיבלה חותמת כשרות מהתאחדות האורתודוקסים (</w:t>
            </w:r>
            <w:r w:rsidR="00A91E4B" w:rsidRPr="005940D1">
              <w:t>OU</w:t>
            </w:r>
            <w:r w:rsidR="00E95B34" w:rsidRPr="005940D1">
              <w:rPr>
                <w:rFonts w:hint="cs"/>
                <w:rtl/>
              </w:rPr>
              <w:t>) כהבעת תמיכה בקהילה היהודית בה כאמור שיעור</w:t>
            </w:r>
            <w:r w:rsidR="00DF2839">
              <w:rPr>
                <w:rFonts w:hint="cs"/>
                <w:rtl/>
              </w:rPr>
              <w:t xml:space="preserve"> הנשאים הוא גבוה מזה של האוכ</w:t>
            </w:r>
            <w:r w:rsidR="00E95B34" w:rsidRPr="005940D1">
              <w:rPr>
                <w:rFonts w:hint="cs"/>
                <w:rtl/>
              </w:rPr>
              <w:t>ל</w:t>
            </w:r>
            <w:r w:rsidR="00DF2839">
              <w:rPr>
                <w:rFonts w:hint="cs"/>
                <w:rtl/>
              </w:rPr>
              <w:t>ו</w:t>
            </w:r>
            <w:r w:rsidR="00E95B34" w:rsidRPr="005940D1">
              <w:rPr>
                <w:rFonts w:hint="cs"/>
                <w:rtl/>
              </w:rPr>
              <w:t xml:space="preserve">סייה הכללית. </w:t>
            </w:r>
          </w:p>
        </w:tc>
      </w:tr>
      <w:tr w:rsidR="00445072" w14:paraId="7B256FD4" w14:textId="77777777" w:rsidTr="00147C00">
        <w:trPr>
          <w:trHeight w:val="664"/>
        </w:trPr>
        <w:tc>
          <w:tcPr>
            <w:tcW w:w="1382" w:type="dxa"/>
          </w:tcPr>
          <w:p w14:paraId="08C93E13" w14:textId="77777777" w:rsidR="00445072" w:rsidRPr="00E9516D" w:rsidRDefault="00445072" w:rsidP="00147C00">
            <w:pPr>
              <w:rPr>
                <w:b/>
                <w:bCs/>
              </w:rPr>
            </w:pPr>
            <w:r w:rsidRPr="00F720A3">
              <w:rPr>
                <w:rFonts w:hint="cs"/>
                <w:b/>
                <w:bCs/>
                <w:sz w:val="24"/>
                <w:szCs w:val="24"/>
                <w:rtl/>
              </w:rPr>
              <w:lastRenderedPageBreak/>
              <w:t>פעילויות לתלמידים, כתבות וסרטונים</w:t>
            </w:r>
            <w:r w:rsidRPr="00E9516D">
              <w:rPr>
                <w:rFonts w:hint="cs"/>
                <w:b/>
                <w:bCs/>
                <w:rtl/>
              </w:rPr>
              <w:t xml:space="preserve"> </w:t>
            </w:r>
          </w:p>
        </w:tc>
        <w:tc>
          <w:tcPr>
            <w:tcW w:w="7368" w:type="dxa"/>
          </w:tcPr>
          <w:p w14:paraId="2B5F1E98" w14:textId="40B1CE4F" w:rsidR="00445072" w:rsidRPr="00172270" w:rsidRDefault="00172270" w:rsidP="00147C00">
            <w:pPr>
              <w:rPr>
                <w:rtl/>
              </w:rPr>
            </w:pPr>
            <w:hyperlink r:id="rId9" w:history="1">
              <w:r w:rsidRPr="00172270">
                <w:rPr>
                  <w:rStyle w:val="Hyperlink"/>
                  <w:rFonts w:cs="Arial" w:hint="cs"/>
                  <w:rtl/>
                </w:rPr>
                <w:t>פעילות</w:t>
              </w:r>
              <w:r w:rsidRPr="00172270">
                <w:rPr>
                  <w:rStyle w:val="Hyperlink"/>
                  <w:rFonts w:cs="Arial"/>
                  <w:rtl/>
                </w:rPr>
                <w:t xml:space="preserve"> </w:t>
              </w:r>
              <w:r w:rsidRPr="00172270">
                <w:rPr>
                  <w:rStyle w:val="Hyperlink"/>
                  <w:rFonts w:cs="Arial" w:hint="cs"/>
                  <w:rtl/>
                </w:rPr>
                <w:t>תחרותית</w:t>
              </w:r>
              <w:r w:rsidRPr="00172270">
                <w:rPr>
                  <w:rStyle w:val="Hyperlink"/>
                  <w:rFonts w:cs="Arial"/>
                  <w:rtl/>
                </w:rPr>
                <w:t xml:space="preserve"> </w:t>
              </w:r>
              <w:r w:rsidRPr="00172270">
                <w:rPr>
                  <w:rStyle w:val="Hyperlink"/>
                  <w:rFonts w:cs="Arial" w:hint="cs"/>
                  <w:rtl/>
                </w:rPr>
                <w:t>בקבוצות</w:t>
              </w:r>
              <w:r w:rsidRPr="00172270">
                <w:rPr>
                  <w:rStyle w:val="Hyperlink"/>
                  <w:rFonts w:cs="Arial"/>
                  <w:rtl/>
                </w:rPr>
                <w:t xml:space="preserve"> </w:t>
              </w:r>
              <w:r w:rsidRPr="00172270">
                <w:rPr>
                  <w:rStyle w:val="Hyperlink"/>
                  <w:rFonts w:cs="Arial" w:hint="cs"/>
                  <w:rtl/>
                </w:rPr>
                <w:t>בנושא</w:t>
              </w:r>
              <w:r w:rsidRPr="00172270">
                <w:rPr>
                  <w:rStyle w:val="Hyperlink"/>
                  <w:rFonts w:cs="Arial"/>
                  <w:rtl/>
                </w:rPr>
                <w:t xml:space="preserve"> </w:t>
              </w:r>
              <w:r w:rsidRPr="00172270">
                <w:rPr>
                  <w:rStyle w:val="Hyperlink"/>
                  <w:rFonts w:cs="Arial" w:hint="cs"/>
                  <w:rtl/>
                </w:rPr>
                <w:t>של</w:t>
              </w:r>
              <w:r w:rsidRPr="00172270">
                <w:rPr>
                  <w:rStyle w:val="Hyperlink"/>
                  <w:rFonts w:cs="Arial"/>
                  <w:rtl/>
                </w:rPr>
                <w:t xml:space="preserve"> </w:t>
              </w:r>
              <w:r w:rsidRPr="00172270">
                <w:rPr>
                  <w:rStyle w:val="Hyperlink"/>
                  <w:rFonts w:cs="Arial" w:hint="cs"/>
                  <w:rtl/>
                </w:rPr>
                <w:t>הנדסה</w:t>
              </w:r>
              <w:r w:rsidRPr="00172270">
                <w:rPr>
                  <w:rStyle w:val="Hyperlink"/>
                  <w:rFonts w:cs="Arial"/>
                  <w:rtl/>
                </w:rPr>
                <w:t xml:space="preserve"> </w:t>
              </w:r>
              <w:r w:rsidRPr="00172270">
                <w:rPr>
                  <w:rStyle w:val="Hyperlink"/>
                  <w:rFonts w:cs="Arial" w:hint="cs"/>
                  <w:rtl/>
                </w:rPr>
                <w:t>גנטית</w:t>
              </w:r>
              <w:r w:rsidRPr="00172270">
                <w:rPr>
                  <w:rStyle w:val="Hyperlink"/>
                  <w:rFonts w:cs="Arial"/>
                  <w:rtl/>
                </w:rPr>
                <w:t xml:space="preserve"> - </w:t>
              </w:r>
              <w:r w:rsidRPr="00172270">
                <w:rPr>
                  <w:rStyle w:val="Hyperlink"/>
                  <w:rFonts w:cs="Arial" w:hint="cs"/>
                  <w:rtl/>
                </w:rPr>
                <w:t>ביטוי</w:t>
              </w:r>
              <w:r w:rsidRPr="00172270">
                <w:rPr>
                  <w:rStyle w:val="Hyperlink"/>
                  <w:rFonts w:cs="Arial"/>
                  <w:rtl/>
                </w:rPr>
                <w:t xml:space="preserve"> </w:t>
              </w:r>
              <w:r w:rsidRPr="00172270">
                <w:rPr>
                  <w:rStyle w:val="Hyperlink"/>
                  <w:rFonts w:cs="Arial" w:hint="cs"/>
                  <w:rtl/>
                </w:rPr>
                <w:t>של</w:t>
              </w:r>
              <w:r w:rsidRPr="00172270">
                <w:rPr>
                  <w:rStyle w:val="Hyperlink"/>
                  <w:rFonts w:cs="Arial"/>
                  <w:rtl/>
                </w:rPr>
                <w:t xml:space="preserve"> </w:t>
              </w:r>
              <w:r w:rsidRPr="00172270">
                <w:rPr>
                  <w:rStyle w:val="Hyperlink"/>
                  <w:rFonts w:cs="Arial" w:hint="cs"/>
                  <w:rtl/>
                </w:rPr>
                <w:t>חלבון</w:t>
              </w:r>
              <w:r w:rsidRPr="00172270">
                <w:rPr>
                  <w:rStyle w:val="Hyperlink"/>
                  <w:rFonts w:cs="Arial"/>
                  <w:rtl/>
                </w:rPr>
                <w:t xml:space="preserve"> </w:t>
              </w:r>
              <w:r w:rsidRPr="00172270">
                <w:rPr>
                  <w:rStyle w:val="Hyperlink"/>
                  <w:rFonts w:cs="Arial" w:hint="cs"/>
                  <w:rtl/>
                </w:rPr>
                <w:t>רקומביננטי</w:t>
              </w:r>
              <w:r w:rsidRPr="00172270">
                <w:rPr>
                  <w:rStyle w:val="Hyperlink"/>
                  <w:rFonts w:cs="Arial"/>
                  <w:rtl/>
                </w:rPr>
                <w:t xml:space="preserve"> </w:t>
              </w:r>
              <w:r w:rsidRPr="00172270">
                <w:rPr>
                  <w:rStyle w:val="Hyperlink"/>
                  <w:rFonts w:cs="Arial" w:hint="cs"/>
                  <w:rtl/>
                </w:rPr>
                <w:t>בצמחים</w:t>
              </w:r>
            </w:hyperlink>
            <w:bookmarkStart w:id="0" w:name="_GoBack"/>
            <w:bookmarkEnd w:id="0"/>
            <w:r w:rsidRPr="00172270">
              <w:rPr>
                <w:rFonts w:cs="Arial"/>
                <w:rtl/>
              </w:rPr>
              <w:t xml:space="preserve">: </w:t>
            </w:r>
            <w:r w:rsidRPr="00172270">
              <w:rPr>
                <w:rFonts w:cs="Arial" w:hint="cs"/>
                <w:rtl/>
              </w:rPr>
              <w:t>פעילות</w:t>
            </w:r>
            <w:r w:rsidRPr="00172270">
              <w:rPr>
                <w:rFonts w:cs="Arial"/>
                <w:rtl/>
              </w:rPr>
              <w:t xml:space="preserve"> </w:t>
            </w:r>
            <w:r w:rsidRPr="00172270">
              <w:rPr>
                <w:rFonts w:cs="Arial" w:hint="cs"/>
                <w:rtl/>
              </w:rPr>
              <w:t>זו</w:t>
            </w:r>
            <w:r w:rsidRPr="00172270">
              <w:rPr>
                <w:rFonts w:cs="Arial"/>
                <w:rtl/>
              </w:rPr>
              <w:t xml:space="preserve"> </w:t>
            </w:r>
            <w:r w:rsidRPr="00172270">
              <w:rPr>
                <w:rFonts w:cs="Arial" w:hint="cs"/>
                <w:rtl/>
              </w:rPr>
              <w:t>היא</w:t>
            </w:r>
            <w:r w:rsidRPr="00172270">
              <w:rPr>
                <w:rFonts w:cs="Arial"/>
                <w:rtl/>
              </w:rPr>
              <w:t xml:space="preserve"> </w:t>
            </w:r>
            <w:r w:rsidRPr="00172270">
              <w:rPr>
                <w:rFonts w:cs="Arial" w:hint="cs"/>
                <w:rtl/>
              </w:rPr>
              <w:t>חידון</w:t>
            </w:r>
            <w:r w:rsidRPr="00172270">
              <w:rPr>
                <w:rFonts w:cs="Arial"/>
                <w:rtl/>
              </w:rPr>
              <w:t xml:space="preserve"> </w:t>
            </w:r>
            <w:r w:rsidRPr="00172270">
              <w:rPr>
                <w:rFonts w:cs="Arial" w:hint="cs"/>
                <w:rtl/>
              </w:rPr>
              <w:t>בשלבים</w:t>
            </w:r>
            <w:r w:rsidRPr="00172270">
              <w:rPr>
                <w:rFonts w:cs="Arial"/>
                <w:rtl/>
              </w:rPr>
              <w:t xml:space="preserve"> </w:t>
            </w:r>
            <w:r w:rsidRPr="00172270">
              <w:rPr>
                <w:rFonts w:cs="Arial" w:hint="cs"/>
                <w:rtl/>
              </w:rPr>
              <w:t>הבנוי</w:t>
            </w:r>
            <w:r w:rsidRPr="00172270">
              <w:rPr>
                <w:rFonts w:cs="Arial"/>
                <w:rtl/>
              </w:rPr>
              <w:t xml:space="preserve"> </w:t>
            </w:r>
            <w:r w:rsidRPr="00172270">
              <w:rPr>
                <w:rFonts w:cs="Arial" w:hint="cs"/>
                <w:rtl/>
              </w:rPr>
              <w:t>בהתאם</w:t>
            </w:r>
            <w:r w:rsidRPr="00172270">
              <w:rPr>
                <w:rFonts w:cs="Arial"/>
                <w:rtl/>
              </w:rPr>
              <w:t xml:space="preserve"> </w:t>
            </w:r>
            <w:r w:rsidRPr="00172270">
              <w:rPr>
                <w:rFonts w:cs="Arial" w:hint="cs"/>
                <w:rtl/>
              </w:rPr>
              <w:t>לשלבים</w:t>
            </w:r>
            <w:r w:rsidRPr="00172270">
              <w:rPr>
                <w:rFonts w:cs="Arial"/>
                <w:rtl/>
              </w:rPr>
              <w:t xml:space="preserve"> </w:t>
            </w:r>
            <w:r w:rsidRPr="00172270">
              <w:rPr>
                <w:rFonts w:cs="Arial" w:hint="cs"/>
                <w:rtl/>
              </w:rPr>
              <w:t>הנדרשים</w:t>
            </w:r>
            <w:r w:rsidRPr="00172270">
              <w:rPr>
                <w:rFonts w:cs="Arial"/>
                <w:rtl/>
              </w:rPr>
              <w:t xml:space="preserve"> </w:t>
            </w:r>
            <w:r w:rsidRPr="00172270">
              <w:rPr>
                <w:rFonts w:cs="Arial" w:hint="cs"/>
                <w:rtl/>
              </w:rPr>
              <w:t>כדי</w:t>
            </w:r>
            <w:r w:rsidRPr="00172270">
              <w:rPr>
                <w:rFonts w:cs="Arial"/>
                <w:rtl/>
              </w:rPr>
              <w:t xml:space="preserve"> </w:t>
            </w:r>
            <w:r w:rsidRPr="00172270">
              <w:rPr>
                <w:rFonts w:cs="Arial" w:hint="cs"/>
                <w:rtl/>
              </w:rPr>
              <w:t>לבטא</w:t>
            </w:r>
            <w:r w:rsidRPr="00172270">
              <w:rPr>
                <w:rFonts w:cs="Arial"/>
                <w:rtl/>
              </w:rPr>
              <w:t xml:space="preserve"> </w:t>
            </w:r>
            <w:r w:rsidRPr="00172270">
              <w:rPr>
                <w:rFonts w:cs="Arial" w:hint="cs"/>
                <w:rtl/>
              </w:rPr>
              <w:t>חלבון</w:t>
            </w:r>
            <w:r w:rsidRPr="00172270">
              <w:rPr>
                <w:rFonts w:cs="Arial"/>
                <w:rtl/>
              </w:rPr>
              <w:t xml:space="preserve"> </w:t>
            </w:r>
            <w:r w:rsidRPr="00172270">
              <w:rPr>
                <w:rFonts w:cs="Arial" w:hint="cs"/>
                <w:rtl/>
              </w:rPr>
              <w:t>רקומביננטי</w:t>
            </w:r>
            <w:r w:rsidRPr="00172270">
              <w:rPr>
                <w:rFonts w:cs="Arial"/>
                <w:rtl/>
              </w:rPr>
              <w:t xml:space="preserve"> </w:t>
            </w:r>
            <w:r w:rsidRPr="00172270">
              <w:rPr>
                <w:rFonts w:cs="Arial" w:hint="cs"/>
                <w:rtl/>
              </w:rPr>
              <w:t>בתרבית</w:t>
            </w:r>
            <w:r w:rsidRPr="00172270">
              <w:rPr>
                <w:rFonts w:cs="Arial"/>
                <w:rtl/>
              </w:rPr>
              <w:t xml:space="preserve"> </w:t>
            </w:r>
            <w:r w:rsidRPr="00172270">
              <w:rPr>
                <w:rFonts w:cs="Arial" w:hint="cs"/>
                <w:rtl/>
              </w:rPr>
              <w:t>תאי</w:t>
            </w:r>
            <w:r w:rsidRPr="00172270">
              <w:rPr>
                <w:rFonts w:cs="Arial"/>
                <w:rtl/>
              </w:rPr>
              <w:t xml:space="preserve"> </w:t>
            </w:r>
            <w:r w:rsidRPr="00172270">
              <w:rPr>
                <w:rFonts w:cs="Arial" w:hint="cs"/>
                <w:rtl/>
              </w:rPr>
              <w:t>צמחים</w:t>
            </w:r>
            <w:r w:rsidRPr="00172270">
              <w:rPr>
                <w:rFonts w:cs="Arial"/>
                <w:rtl/>
              </w:rPr>
              <w:t xml:space="preserve">. </w:t>
            </w:r>
            <w:r w:rsidRPr="00172270">
              <w:rPr>
                <w:rFonts w:cs="Arial" w:hint="cs"/>
                <w:rtl/>
              </w:rPr>
              <w:t>פעילות</w:t>
            </w:r>
            <w:r w:rsidRPr="00172270">
              <w:rPr>
                <w:rFonts w:cs="Arial"/>
                <w:rtl/>
              </w:rPr>
              <w:t xml:space="preserve"> </w:t>
            </w:r>
            <w:r w:rsidRPr="00172270">
              <w:rPr>
                <w:rFonts w:cs="Arial" w:hint="cs"/>
                <w:rtl/>
              </w:rPr>
              <w:t>זו</w:t>
            </w:r>
            <w:r w:rsidRPr="00172270">
              <w:rPr>
                <w:rFonts w:cs="Arial"/>
                <w:rtl/>
              </w:rPr>
              <w:t xml:space="preserve"> </w:t>
            </w:r>
            <w:r w:rsidRPr="00172270">
              <w:rPr>
                <w:rFonts w:cs="Arial" w:hint="cs"/>
                <w:rtl/>
              </w:rPr>
              <w:t>מתאימה</w:t>
            </w:r>
            <w:r w:rsidRPr="00172270">
              <w:rPr>
                <w:rFonts w:cs="Arial"/>
                <w:rtl/>
              </w:rPr>
              <w:t xml:space="preserve"> </w:t>
            </w:r>
            <w:r w:rsidRPr="00172270">
              <w:rPr>
                <w:rFonts w:cs="Arial" w:hint="cs"/>
                <w:rtl/>
              </w:rPr>
              <w:t>כתרגול</w:t>
            </w:r>
            <w:r w:rsidRPr="00172270">
              <w:rPr>
                <w:rFonts w:cs="Arial"/>
                <w:rtl/>
              </w:rPr>
              <w:t xml:space="preserve"> </w:t>
            </w:r>
            <w:r w:rsidRPr="00172270">
              <w:rPr>
                <w:rFonts w:cs="Arial" w:hint="cs"/>
                <w:rtl/>
              </w:rPr>
              <w:t>חווייתי</w:t>
            </w:r>
            <w:r w:rsidRPr="00172270">
              <w:rPr>
                <w:rFonts w:cs="Arial"/>
                <w:rtl/>
              </w:rPr>
              <w:t xml:space="preserve"> </w:t>
            </w:r>
            <w:r w:rsidRPr="00172270">
              <w:rPr>
                <w:rFonts w:cs="Arial" w:hint="cs"/>
                <w:rtl/>
              </w:rPr>
              <w:t>המסכם</w:t>
            </w:r>
            <w:r w:rsidRPr="00172270">
              <w:rPr>
                <w:rFonts w:cs="Arial"/>
                <w:rtl/>
              </w:rPr>
              <w:t xml:space="preserve"> </w:t>
            </w:r>
            <w:r w:rsidRPr="00172270">
              <w:rPr>
                <w:rFonts w:cs="Arial" w:hint="cs"/>
                <w:rtl/>
              </w:rPr>
              <w:t>את</w:t>
            </w:r>
            <w:r w:rsidRPr="00172270">
              <w:rPr>
                <w:rFonts w:cs="Arial"/>
                <w:rtl/>
              </w:rPr>
              <w:t xml:space="preserve"> </w:t>
            </w:r>
            <w:r w:rsidRPr="00172270">
              <w:rPr>
                <w:rFonts w:cs="Arial" w:hint="cs"/>
                <w:rtl/>
              </w:rPr>
              <w:t>הנושא</w:t>
            </w:r>
            <w:r w:rsidRPr="00172270">
              <w:rPr>
                <w:rFonts w:cs="Arial"/>
                <w:rtl/>
              </w:rPr>
              <w:t xml:space="preserve"> </w:t>
            </w:r>
            <w:r w:rsidRPr="00172270">
              <w:rPr>
                <w:rFonts w:cs="Arial" w:hint="cs"/>
                <w:rtl/>
              </w:rPr>
              <w:t>של</w:t>
            </w:r>
            <w:r w:rsidRPr="00172270">
              <w:rPr>
                <w:rFonts w:cs="Arial"/>
                <w:rtl/>
              </w:rPr>
              <w:t xml:space="preserve"> </w:t>
            </w:r>
            <w:r w:rsidRPr="00172270">
              <w:rPr>
                <w:rFonts w:cs="Arial" w:hint="cs"/>
                <w:rtl/>
              </w:rPr>
              <w:t>הנדסה</w:t>
            </w:r>
            <w:r w:rsidRPr="00172270">
              <w:rPr>
                <w:rFonts w:cs="Arial"/>
                <w:rtl/>
              </w:rPr>
              <w:t xml:space="preserve"> </w:t>
            </w:r>
            <w:r w:rsidRPr="00172270">
              <w:rPr>
                <w:rFonts w:cs="Arial" w:hint="cs"/>
                <w:rtl/>
              </w:rPr>
              <w:t>גנטית</w:t>
            </w:r>
            <w:r w:rsidRPr="00172270">
              <w:rPr>
                <w:rFonts w:cs="Arial"/>
                <w:rtl/>
              </w:rPr>
              <w:t xml:space="preserve">.  </w:t>
            </w:r>
          </w:p>
        </w:tc>
      </w:tr>
      <w:tr w:rsidR="00445072" w14:paraId="1B5D93A0" w14:textId="77777777" w:rsidTr="00147C00">
        <w:trPr>
          <w:trHeight w:val="664"/>
        </w:trPr>
        <w:tc>
          <w:tcPr>
            <w:tcW w:w="1382" w:type="dxa"/>
          </w:tcPr>
          <w:p w14:paraId="66400436" w14:textId="77777777" w:rsidR="00445072" w:rsidRPr="00F720A3" w:rsidRDefault="00445072" w:rsidP="00147C00">
            <w:pPr>
              <w:rPr>
                <w:b/>
                <w:bCs/>
                <w:sz w:val="24"/>
                <w:szCs w:val="24"/>
                <w:rtl/>
              </w:rPr>
            </w:pPr>
            <w:r w:rsidRPr="00F720A3">
              <w:rPr>
                <w:rFonts w:hint="cs"/>
                <w:b/>
                <w:bCs/>
                <w:sz w:val="24"/>
                <w:szCs w:val="24"/>
                <w:rtl/>
              </w:rPr>
              <w:t>מקורות מידע</w:t>
            </w:r>
          </w:p>
        </w:tc>
        <w:tc>
          <w:tcPr>
            <w:tcW w:w="7368" w:type="dxa"/>
          </w:tcPr>
          <w:p w14:paraId="0DFFA143" w14:textId="5EC542DF" w:rsidR="00E002C2" w:rsidRDefault="006C43B9" w:rsidP="00A9231A">
            <w:pPr>
              <w:rPr>
                <w:rtl/>
              </w:rPr>
            </w:pPr>
            <w:hyperlink r:id="rId10" w:history="1">
              <w:r w:rsidR="00E002C2" w:rsidRPr="00E002C2">
                <w:rPr>
                  <w:rStyle w:val="Hyperlink"/>
                  <w:rFonts w:hint="cs"/>
                  <w:rtl/>
                </w:rPr>
                <w:t>אתר של חברת פרוטליקס</w:t>
              </w:r>
            </w:hyperlink>
            <w:r w:rsidR="00E002C2">
              <w:rPr>
                <w:rFonts w:hint="cs"/>
                <w:rtl/>
              </w:rPr>
              <w:t xml:space="preserve"> </w:t>
            </w:r>
          </w:p>
          <w:p w14:paraId="2F5377B6" w14:textId="77777777" w:rsidR="00A9231A" w:rsidRDefault="00A9231A" w:rsidP="00A9231A">
            <w:pPr>
              <w:bidi w:val="0"/>
              <w:rPr>
                <w:rtl/>
              </w:rPr>
            </w:pPr>
          </w:p>
          <w:p w14:paraId="00F95BAD" w14:textId="2B76F25D" w:rsidR="001365D5" w:rsidRDefault="00806FBC" w:rsidP="001365D5">
            <w:pPr>
              <w:shd w:val="clear" w:color="auto" w:fill="FFFFFF"/>
              <w:bidi w:val="0"/>
              <w:spacing w:line="300" w:lineRule="auto"/>
              <w:rPr>
                <w:color w:val="C00000"/>
              </w:rPr>
            </w:pPr>
            <w:r w:rsidRPr="00806FBC">
              <w:rPr>
                <w:noProof/>
              </w:rPr>
              <w:t xml:space="preserve">Clark David P., Pazdernik Nanette J., </w:t>
            </w:r>
            <w:r>
              <w:rPr>
                <w:noProof/>
              </w:rPr>
              <w:t>(2016</w:t>
            </w:r>
            <w:r w:rsidRPr="00806FBC">
              <w:rPr>
                <w:noProof/>
                <w:color w:val="C00000"/>
                <w:u w:val="single"/>
              </w:rPr>
              <w:t xml:space="preserve">) </w:t>
            </w:r>
            <w:hyperlink r:id="rId11" w:history="1">
              <w:r w:rsidRPr="00806FBC">
                <w:rPr>
                  <w:noProof/>
                  <w:color w:val="C00000"/>
                  <w:u w:val="single"/>
                </w:rPr>
                <w:t>Recombinant Proteins</w:t>
              </w:r>
            </w:hyperlink>
            <w:r>
              <w:rPr>
                <w:noProof/>
              </w:rPr>
              <w:t xml:space="preserve"> </w:t>
            </w:r>
            <w:r w:rsidRPr="00806FBC">
              <w:rPr>
                <w:noProof/>
              </w:rPr>
              <w:t xml:space="preserve">in </w:t>
            </w:r>
            <w:hyperlink r:id="rId12" w:history="1">
              <w:r w:rsidRPr="00806FBC">
                <w:rPr>
                  <w:noProof/>
                </w:rPr>
                <w:t>Biotechnology (Second Edition)</w:t>
              </w:r>
            </w:hyperlink>
            <w:r w:rsidRPr="00806FBC">
              <w:rPr>
                <w:noProof/>
              </w:rPr>
              <w:t>, 2016</w:t>
            </w:r>
          </w:p>
          <w:p w14:paraId="0D3CB354" w14:textId="77777777" w:rsidR="001365D5" w:rsidRDefault="001365D5" w:rsidP="001365D5">
            <w:pPr>
              <w:shd w:val="clear" w:color="auto" w:fill="FFFFFF"/>
              <w:bidi w:val="0"/>
              <w:spacing w:line="300" w:lineRule="auto"/>
              <w:rPr>
                <w:color w:val="C00000"/>
              </w:rPr>
            </w:pPr>
          </w:p>
          <w:p w14:paraId="738A3C18" w14:textId="04D82C2A" w:rsidR="003D4620" w:rsidRPr="003D4620" w:rsidRDefault="006C43B9" w:rsidP="007203F4">
            <w:pPr>
              <w:shd w:val="clear" w:color="auto" w:fill="FFFFFF"/>
              <w:bidi w:val="0"/>
              <w:spacing w:line="300" w:lineRule="auto"/>
            </w:pPr>
            <w:hyperlink r:id="rId13" w:history="1">
              <w:r w:rsidR="001365D5" w:rsidRPr="003D4620">
                <w:rPr>
                  <w:rStyle w:val="Hyperlink"/>
                </w:rPr>
                <w:t>ELELYSO® (taliglucerase alfa) for injection</w:t>
              </w:r>
            </w:hyperlink>
          </w:p>
          <w:p w14:paraId="3EC3071C" w14:textId="2485771B" w:rsidR="001365D5" w:rsidRPr="001365D5" w:rsidRDefault="001365D5" w:rsidP="001365D5">
            <w:pPr>
              <w:shd w:val="clear" w:color="auto" w:fill="FFFFFF"/>
              <w:bidi w:val="0"/>
              <w:spacing w:line="300" w:lineRule="auto"/>
              <w:rPr>
                <w:color w:val="C00000"/>
              </w:rPr>
            </w:pPr>
          </w:p>
          <w:p w14:paraId="1DA8034F" w14:textId="47A2D69D" w:rsidR="00385D8C" w:rsidRDefault="00385D8C" w:rsidP="00A9231A">
            <w:pPr>
              <w:bidi w:val="0"/>
            </w:pPr>
            <w:r w:rsidRPr="00385D8C">
              <w:rPr>
                <w:noProof/>
              </w:rPr>
              <w:t>Falcone, Dana, Elisabeth McCarty Wood, Michael Mennuti, Sharon X. Xie, and Vivianna M. Van Deerlin.</w:t>
            </w:r>
            <w:r>
              <w:rPr>
                <w:noProof/>
              </w:rPr>
              <w:t xml:space="preserve"> </w:t>
            </w:r>
            <w:r w:rsidR="00A9231A">
              <w:rPr>
                <w:noProof/>
              </w:rPr>
              <w:t>(</w:t>
            </w:r>
            <w:r w:rsidRPr="00385D8C">
              <w:rPr>
                <w:noProof/>
              </w:rPr>
              <w:t>2012</w:t>
            </w:r>
            <w:r w:rsidR="00A9231A">
              <w:rPr>
                <w:noProof/>
              </w:rPr>
              <w:t>)</w:t>
            </w:r>
            <w:r w:rsidRPr="00385D8C">
              <w:rPr>
                <w:noProof/>
              </w:rPr>
              <w:t xml:space="preserve">. </w:t>
            </w:r>
            <w:hyperlink r:id="rId14" w:history="1">
              <w:r w:rsidRPr="00A9231A">
                <w:rPr>
                  <w:rStyle w:val="Hyperlink"/>
                  <w:noProof/>
                </w:rPr>
                <w:t>'Prenatal healthcare providers’ Gaucher disease carrier screening practices'</w:t>
              </w:r>
            </w:hyperlink>
            <w:r w:rsidRPr="00385D8C">
              <w:rPr>
                <w:noProof/>
              </w:rPr>
              <w:t xml:space="preserve">, </w:t>
            </w:r>
            <w:r w:rsidRPr="00385D8C">
              <w:rPr>
                <w:i/>
                <w:noProof/>
              </w:rPr>
              <w:t>Genetics In</w:t>
            </w:r>
            <w:r>
              <w:rPr>
                <w:noProof/>
              </w:rPr>
              <w:t xml:space="preserve"> </w:t>
            </w:r>
            <w:r w:rsidRPr="00385D8C">
              <w:rPr>
                <w:i/>
                <w:noProof/>
              </w:rPr>
              <w:t>Medicine</w:t>
            </w:r>
            <w:r w:rsidRPr="00385D8C">
              <w:rPr>
                <w:noProof/>
              </w:rPr>
              <w:t>, 14: 844.</w:t>
            </w:r>
          </w:p>
          <w:p w14:paraId="4D102252" w14:textId="77777777" w:rsidR="00806FBC" w:rsidRPr="00A9231A" w:rsidRDefault="00806FBC" w:rsidP="00A9231A">
            <w:pPr>
              <w:bidi w:val="0"/>
            </w:pPr>
          </w:p>
          <w:p w14:paraId="2B1B3614" w14:textId="77777777" w:rsidR="001365D5" w:rsidRPr="00806FBC" w:rsidRDefault="006C43B9" w:rsidP="001365D5">
            <w:pPr>
              <w:pStyle w:val="Heading3"/>
              <w:shd w:val="clear" w:color="auto" w:fill="FFFFFF"/>
              <w:spacing w:before="0" w:beforeAutospacing="0" w:after="0" w:afterAutospacing="0"/>
              <w:outlineLvl w:val="2"/>
              <w:rPr>
                <w:rFonts w:asciiTheme="minorHAnsi" w:eastAsiaTheme="minorHAnsi" w:hAnsiTheme="minorHAnsi" w:cstheme="minorBidi"/>
                <w:b w:val="0"/>
                <w:bCs w:val="0"/>
                <w:noProof/>
                <w:sz w:val="22"/>
                <w:szCs w:val="22"/>
              </w:rPr>
            </w:pPr>
            <w:hyperlink r:id="rId15" w:history="1">
              <w:r w:rsidR="001365D5" w:rsidRPr="00323C86">
                <w:rPr>
                  <w:rFonts w:asciiTheme="minorHAnsi" w:eastAsiaTheme="minorHAnsi" w:hAnsiTheme="minorHAnsi" w:cstheme="minorBidi"/>
                  <w:b w:val="0"/>
                  <w:bCs w:val="0"/>
                  <w:noProof/>
                  <w:color w:val="C00000"/>
                  <w:sz w:val="22"/>
                  <w:szCs w:val="22"/>
                  <w:u w:val="single"/>
                </w:rPr>
                <w:t>HUMAN LYSOSOMAL PROTEINS FROM PLANT CELL CULTURE</w:t>
              </w:r>
            </w:hyperlink>
            <w:r w:rsidR="001365D5">
              <w:rPr>
                <w:rFonts w:asciiTheme="minorHAnsi" w:eastAsiaTheme="minorHAnsi" w:hAnsiTheme="minorHAnsi" w:cstheme="minorBidi"/>
                <w:b w:val="0"/>
                <w:bCs w:val="0"/>
                <w:noProof/>
                <w:sz w:val="22"/>
                <w:szCs w:val="22"/>
              </w:rPr>
              <w:t xml:space="preserve">, (2012) </w:t>
            </w:r>
            <w:r w:rsidR="001365D5" w:rsidRPr="00806FBC">
              <w:rPr>
                <w:rFonts w:asciiTheme="minorHAnsi" w:eastAsiaTheme="minorHAnsi" w:hAnsiTheme="minorHAnsi" w:cstheme="minorBidi"/>
                <w:b w:val="0"/>
                <w:bCs w:val="0"/>
                <w:noProof/>
                <w:sz w:val="22"/>
                <w:szCs w:val="22"/>
              </w:rPr>
              <w:t>Patents Assigned to Protalix</w:t>
            </w:r>
            <w:r w:rsidR="001365D5">
              <w:rPr>
                <w:rFonts w:asciiTheme="minorHAnsi" w:eastAsiaTheme="minorHAnsi" w:hAnsiTheme="minorHAnsi" w:cstheme="minorBidi"/>
                <w:b w:val="0"/>
                <w:bCs w:val="0"/>
                <w:noProof/>
                <w:sz w:val="22"/>
                <w:szCs w:val="22"/>
              </w:rPr>
              <w:t>, JUSTIA patents</w:t>
            </w:r>
          </w:p>
          <w:p w14:paraId="4DF6796D" w14:textId="77777777" w:rsidR="001365D5" w:rsidRDefault="001365D5" w:rsidP="001365D5">
            <w:pPr>
              <w:shd w:val="clear" w:color="auto" w:fill="FFFFFF"/>
              <w:bidi w:val="0"/>
              <w:spacing w:line="300" w:lineRule="auto"/>
              <w:rPr>
                <w:color w:val="C00000"/>
              </w:rPr>
            </w:pPr>
          </w:p>
          <w:p w14:paraId="4F521788" w14:textId="7E2C6D5B" w:rsidR="003D4620" w:rsidRPr="003D4620" w:rsidRDefault="00A9231A" w:rsidP="007203F4">
            <w:pPr>
              <w:pStyle w:val="Heading3"/>
              <w:shd w:val="clear" w:color="auto" w:fill="FFFFFF"/>
              <w:spacing w:before="0" w:beforeAutospacing="0" w:after="0" w:afterAutospacing="0"/>
              <w:outlineLvl w:val="2"/>
              <w:rPr>
                <w:rFonts w:asciiTheme="minorHAnsi" w:eastAsiaTheme="minorHAnsi" w:hAnsiTheme="minorHAnsi" w:cstheme="minorBidi"/>
                <w:b w:val="0"/>
                <w:bCs w:val="0"/>
                <w:sz w:val="22"/>
                <w:szCs w:val="22"/>
                <w:rtl/>
              </w:rPr>
            </w:pPr>
            <w:r w:rsidRPr="003D4620">
              <w:rPr>
                <w:rFonts w:asciiTheme="minorHAnsi" w:eastAsiaTheme="minorHAnsi" w:hAnsiTheme="minorHAnsi" w:cstheme="minorBidi"/>
                <w:b w:val="0"/>
                <w:bCs w:val="0"/>
                <w:sz w:val="22"/>
                <w:szCs w:val="22"/>
              </w:rPr>
              <w:t>Learning About Gaucher Disease</w:t>
            </w:r>
            <w:r w:rsidR="00806FBC" w:rsidRPr="00806FBC">
              <w:rPr>
                <w:rFonts w:asciiTheme="minorHAnsi" w:eastAsiaTheme="minorHAnsi" w:hAnsiTheme="minorHAnsi" w:cstheme="minorBidi"/>
                <w:b w:val="0"/>
                <w:bCs w:val="0"/>
                <w:sz w:val="22"/>
                <w:szCs w:val="22"/>
              </w:rPr>
              <w:t xml:space="preserve">, </w:t>
            </w:r>
            <w:hyperlink r:id="rId16" w:history="1">
              <w:r w:rsidR="00806FBC" w:rsidRPr="00806FBC">
                <w:rPr>
                  <w:rFonts w:asciiTheme="minorHAnsi" w:eastAsiaTheme="minorHAnsi" w:hAnsiTheme="minorHAnsi" w:cstheme="minorBidi"/>
                  <w:b w:val="0"/>
                  <w:bCs w:val="0"/>
                  <w:sz w:val="22"/>
                  <w:szCs w:val="22"/>
                </w:rPr>
                <w:t>National Institutes of Health (NIH)</w:t>
              </w:r>
            </w:hyperlink>
          </w:p>
        </w:tc>
      </w:tr>
    </w:tbl>
    <w:p w14:paraId="5362521B" w14:textId="65294109" w:rsidR="00B1773F" w:rsidRPr="00FD162C" w:rsidRDefault="00B1773F" w:rsidP="00FD162C">
      <w:pPr>
        <w:rPr>
          <w:rtl/>
        </w:rPr>
      </w:pPr>
    </w:p>
    <w:sectPr w:rsidR="00B1773F" w:rsidRPr="00FD162C">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07F697" w14:textId="77777777" w:rsidR="006C43B9" w:rsidRDefault="006C43B9" w:rsidP="00385D8C">
      <w:pPr>
        <w:spacing w:after="0" w:line="240" w:lineRule="auto"/>
      </w:pPr>
      <w:r>
        <w:separator/>
      </w:r>
    </w:p>
  </w:endnote>
  <w:endnote w:type="continuationSeparator" w:id="0">
    <w:p w14:paraId="5BD4440B" w14:textId="77777777" w:rsidR="006C43B9" w:rsidRDefault="006C43B9" w:rsidP="00385D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libri Light">
    <w:charset w:val="00"/>
    <w:family w:val="swiss"/>
    <w:pitch w:val="variable"/>
    <w:sig w:usb0="A00002EF" w:usb1="4000207B"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9D649AB" w14:textId="77777777" w:rsidR="006C43B9" w:rsidRDefault="006C43B9" w:rsidP="00385D8C">
      <w:pPr>
        <w:spacing w:after="0" w:line="240" w:lineRule="auto"/>
      </w:pPr>
      <w:r>
        <w:separator/>
      </w:r>
    </w:p>
  </w:footnote>
  <w:footnote w:type="continuationSeparator" w:id="0">
    <w:p w14:paraId="6165BF20" w14:textId="77777777" w:rsidR="006C43B9" w:rsidRDefault="006C43B9" w:rsidP="00385D8C">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MHRA (Author-Date)&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spdd0z0vir2zwnep5p5xapedvz0pa0wevses&quot;&gt;My EndNote Library&lt;record-ids&gt;&lt;item&gt;49&lt;/item&gt;&lt;/record-ids&gt;&lt;/item&gt;&lt;/Libraries&gt;"/>
  </w:docVars>
  <w:rsids>
    <w:rsidRoot w:val="00445072"/>
    <w:rsid w:val="00005311"/>
    <w:rsid w:val="00067091"/>
    <w:rsid w:val="00074E2E"/>
    <w:rsid w:val="00076519"/>
    <w:rsid w:val="000E0A46"/>
    <w:rsid w:val="001028D7"/>
    <w:rsid w:val="00124E2E"/>
    <w:rsid w:val="001365D5"/>
    <w:rsid w:val="00172270"/>
    <w:rsid w:val="001A6E08"/>
    <w:rsid w:val="001C7CB9"/>
    <w:rsid w:val="002474AB"/>
    <w:rsid w:val="0028785A"/>
    <w:rsid w:val="002A1CD6"/>
    <w:rsid w:val="002A5AB3"/>
    <w:rsid w:val="002D27C4"/>
    <w:rsid w:val="00316370"/>
    <w:rsid w:val="00323C86"/>
    <w:rsid w:val="003433C4"/>
    <w:rsid w:val="0035383E"/>
    <w:rsid w:val="00377752"/>
    <w:rsid w:val="00385D8C"/>
    <w:rsid w:val="003A7728"/>
    <w:rsid w:val="003B74AE"/>
    <w:rsid w:val="003D4620"/>
    <w:rsid w:val="003F54B9"/>
    <w:rsid w:val="0044277E"/>
    <w:rsid w:val="00445072"/>
    <w:rsid w:val="00445305"/>
    <w:rsid w:val="00482BBC"/>
    <w:rsid w:val="004913EE"/>
    <w:rsid w:val="004B53FE"/>
    <w:rsid w:val="00501444"/>
    <w:rsid w:val="00515294"/>
    <w:rsid w:val="00570C6B"/>
    <w:rsid w:val="005940D1"/>
    <w:rsid w:val="005B760B"/>
    <w:rsid w:val="005D1152"/>
    <w:rsid w:val="00601E10"/>
    <w:rsid w:val="00603991"/>
    <w:rsid w:val="00651B92"/>
    <w:rsid w:val="00653FF1"/>
    <w:rsid w:val="006A207C"/>
    <w:rsid w:val="006C43B9"/>
    <w:rsid w:val="006C4E15"/>
    <w:rsid w:val="007203F4"/>
    <w:rsid w:val="00786974"/>
    <w:rsid w:val="007929C7"/>
    <w:rsid w:val="00806FBC"/>
    <w:rsid w:val="00831D0B"/>
    <w:rsid w:val="00861CA6"/>
    <w:rsid w:val="00884196"/>
    <w:rsid w:val="008C30D4"/>
    <w:rsid w:val="008E4B63"/>
    <w:rsid w:val="00900824"/>
    <w:rsid w:val="00910AC9"/>
    <w:rsid w:val="00963BAF"/>
    <w:rsid w:val="009824E4"/>
    <w:rsid w:val="009B7113"/>
    <w:rsid w:val="009C2DFD"/>
    <w:rsid w:val="00A856AD"/>
    <w:rsid w:val="00A91E4B"/>
    <w:rsid w:val="00A9231A"/>
    <w:rsid w:val="00AC0215"/>
    <w:rsid w:val="00AC5DA2"/>
    <w:rsid w:val="00AF61DE"/>
    <w:rsid w:val="00B1773F"/>
    <w:rsid w:val="00B90738"/>
    <w:rsid w:val="00BA04B0"/>
    <w:rsid w:val="00BB1D8B"/>
    <w:rsid w:val="00BD0D70"/>
    <w:rsid w:val="00BD5A9C"/>
    <w:rsid w:val="00BE33D2"/>
    <w:rsid w:val="00C25DEB"/>
    <w:rsid w:val="00C4621B"/>
    <w:rsid w:val="00C57C08"/>
    <w:rsid w:val="00CB3FF7"/>
    <w:rsid w:val="00D1103A"/>
    <w:rsid w:val="00D21D06"/>
    <w:rsid w:val="00D22270"/>
    <w:rsid w:val="00DF2839"/>
    <w:rsid w:val="00E002C2"/>
    <w:rsid w:val="00E11CC4"/>
    <w:rsid w:val="00E309CA"/>
    <w:rsid w:val="00E64C36"/>
    <w:rsid w:val="00E95B34"/>
    <w:rsid w:val="00E9707F"/>
    <w:rsid w:val="00F738BB"/>
    <w:rsid w:val="00F760E4"/>
    <w:rsid w:val="00FC1A6A"/>
    <w:rsid w:val="00FD162C"/>
    <w:rsid w:val="00FD72C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FEAB05"/>
  <w15:chartTrackingRefBased/>
  <w15:docId w15:val="{78A0A288-3F0E-46F9-9945-39A757EE52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45072"/>
    <w:pPr>
      <w:bidi/>
    </w:pPr>
  </w:style>
  <w:style w:type="paragraph" w:styleId="Heading2">
    <w:name w:val="heading 2"/>
    <w:basedOn w:val="Normal"/>
    <w:next w:val="Normal"/>
    <w:link w:val="Heading2Char"/>
    <w:uiPriority w:val="9"/>
    <w:unhideWhenUsed/>
    <w:qFormat/>
    <w:rsid w:val="00806FB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link w:val="Heading3Char"/>
    <w:uiPriority w:val="9"/>
    <w:qFormat/>
    <w:rsid w:val="00806FBC"/>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4450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445072"/>
    <w:rPr>
      <w:color w:val="0563C1" w:themeColor="hyperlink"/>
      <w:u w:val="single"/>
    </w:rPr>
  </w:style>
  <w:style w:type="paragraph" w:styleId="NormalWeb">
    <w:name w:val="Normal (Web)"/>
    <w:basedOn w:val="Normal"/>
    <w:uiPriority w:val="99"/>
    <w:unhideWhenUsed/>
    <w:rsid w:val="00445072"/>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AC5DA2"/>
    <w:rPr>
      <w:sz w:val="16"/>
      <w:szCs w:val="16"/>
    </w:rPr>
  </w:style>
  <w:style w:type="paragraph" w:styleId="CommentText">
    <w:name w:val="annotation text"/>
    <w:basedOn w:val="Normal"/>
    <w:link w:val="CommentTextChar"/>
    <w:uiPriority w:val="99"/>
    <w:semiHidden/>
    <w:unhideWhenUsed/>
    <w:rsid w:val="00AC5DA2"/>
    <w:pPr>
      <w:spacing w:line="240" w:lineRule="auto"/>
    </w:pPr>
    <w:rPr>
      <w:sz w:val="20"/>
      <w:szCs w:val="20"/>
    </w:rPr>
  </w:style>
  <w:style w:type="character" w:customStyle="1" w:styleId="CommentTextChar">
    <w:name w:val="Comment Text Char"/>
    <w:basedOn w:val="DefaultParagraphFont"/>
    <w:link w:val="CommentText"/>
    <w:uiPriority w:val="99"/>
    <w:semiHidden/>
    <w:rsid w:val="00AC5DA2"/>
    <w:rPr>
      <w:sz w:val="20"/>
      <w:szCs w:val="20"/>
    </w:rPr>
  </w:style>
  <w:style w:type="paragraph" w:styleId="CommentSubject">
    <w:name w:val="annotation subject"/>
    <w:basedOn w:val="CommentText"/>
    <w:next w:val="CommentText"/>
    <w:link w:val="CommentSubjectChar"/>
    <w:uiPriority w:val="99"/>
    <w:semiHidden/>
    <w:unhideWhenUsed/>
    <w:rsid w:val="00AC5DA2"/>
    <w:rPr>
      <w:b/>
      <w:bCs/>
    </w:rPr>
  </w:style>
  <w:style w:type="character" w:customStyle="1" w:styleId="CommentSubjectChar">
    <w:name w:val="Comment Subject Char"/>
    <w:basedOn w:val="CommentTextChar"/>
    <w:link w:val="CommentSubject"/>
    <w:uiPriority w:val="99"/>
    <w:semiHidden/>
    <w:rsid w:val="00AC5DA2"/>
    <w:rPr>
      <w:b/>
      <w:bCs/>
      <w:sz w:val="20"/>
      <w:szCs w:val="20"/>
    </w:rPr>
  </w:style>
  <w:style w:type="paragraph" w:styleId="BalloonText">
    <w:name w:val="Balloon Text"/>
    <w:basedOn w:val="Normal"/>
    <w:link w:val="BalloonTextChar"/>
    <w:uiPriority w:val="99"/>
    <w:semiHidden/>
    <w:unhideWhenUsed/>
    <w:rsid w:val="00AC5DA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C5DA2"/>
    <w:rPr>
      <w:rFonts w:ascii="Segoe UI" w:hAnsi="Segoe UI" w:cs="Segoe UI"/>
      <w:sz w:val="18"/>
      <w:szCs w:val="18"/>
    </w:rPr>
  </w:style>
  <w:style w:type="character" w:styleId="FollowedHyperlink">
    <w:name w:val="FollowedHyperlink"/>
    <w:basedOn w:val="DefaultParagraphFont"/>
    <w:uiPriority w:val="99"/>
    <w:semiHidden/>
    <w:unhideWhenUsed/>
    <w:rsid w:val="00E002C2"/>
    <w:rPr>
      <w:color w:val="954F72" w:themeColor="followedHyperlink"/>
      <w:u w:val="single"/>
    </w:rPr>
  </w:style>
  <w:style w:type="paragraph" w:customStyle="1" w:styleId="EndNoteBibliographyTitle">
    <w:name w:val="EndNote Bibliography Title"/>
    <w:basedOn w:val="Normal"/>
    <w:link w:val="EndNoteBibliographyTitleChar"/>
    <w:rsid w:val="00385D8C"/>
    <w:pPr>
      <w:spacing w:after="0"/>
      <w:jc w:val="center"/>
    </w:pPr>
    <w:rPr>
      <w:rFonts w:ascii="Calibri" w:hAnsi="Calibri"/>
      <w:noProof/>
    </w:rPr>
  </w:style>
  <w:style w:type="character" w:customStyle="1" w:styleId="EndNoteBibliographyTitleChar">
    <w:name w:val="EndNote Bibliography Title Char"/>
    <w:basedOn w:val="DefaultParagraphFont"/>
    <w:link w:val="EndNoteBibliographyTitle"/>
    <w:rsid w:val="00385D8C"/>
    <w:rPr>
      <w:rFonts w:ascii="Calibri" w:hAnsi="Calibri"/>
      <w:noProof/>
    </w:rPr>
  </w:style>
  <w:style w:type="paragraph" w:customStyle="1" w:styleId="EndNoteBibliography">
    <w:name w:val="EndNote Bibliography"/>
    <w:basedOn w:val="Normal"/>
    <w:link w:val="EndNoteBibliographyChar"/>
    <w:rsid w:val="00385D8C"/>
    <w:pPr>
      <w:spacing w:line="240" w:lineRule="auto"/>
    </w:pPr>
    <w:rPr>
      <w:rFonts w:ascii="Calibri" w:hAnsi="Calibri"/>
      <w:noProof/>
    </w:rPr>
  </w:style>
  <w:style w:type="character" w:customStyle="1" w:styleId="EndNoteBibliographyChar">
    <w:name w:val="EndNote Bibliography Char"/>
    <w:basedOn w:val="DefaultParagraphFont"/>
    <w:link w:val="EndNoteBibliography"/>
    <w:rsid w:val="00385D8C"/>
    <w:rPr>
      <w:rFonts w:ascii="Calibri" w:hAnsi="Calibri"/>
      <w:noProof/>
    </w:rPr>
  </w:style>
  <w:style w:type="paragraph" w:styleId="Header">
    <w:name w:val="header"/>
    <w:basedOn w:val="Normal"/>
    <w:link w:val="HeaderChar"/>
    <w:uiPriority w:val="99"/>
    <w:unhideWhenUsed/>
    <w:rsid w:val="00385D8C"/>
    <w:pPr>
      <w:tabs>
        <w:tab w:val="center" w:pos="4680"/>
        <w:tab w:val="right" w:pos="9360"/>
      </w:tabs>
      <w:spacing w:after="0" w:line="240" w:lineRule="auto"/>
    </w:pPr>
  </w:style>
  <w:style w:type="character" w:customStyle="1" w:styleId="HeaderChar">
    <w:name w:val="Header Char"/>
    <w:basedOn w:val="DefaultParagraphFont"/>
    <w:link w:val="Header"/>
    <w:uiPriority w:val="99"/>
    <w:rsid w:val="00385D8C"/>
  </w:style>
  <w:style w:type="paragraph" w:styleId="Footer">
    <w:name w:val="footer"/>
    <w:basedOn w:val="Normal"/>
    <w:link w:val="FooterChar"/>
    <w:uiPriority w:val="99"/>
    <w:unhideWhenUsed/>
    <w:rsid w:val="00385D8C"/>
    <w:pPr>
      <w:tabs>
        <w:tab w:val="center" w:pos="4680"/>
        <w:tab w:val="right" w:pos="9360"/>
      </w:tabs>
      <w:spacing w:after="0" w:line="240" w:lineRule="auto"/>
    </w:pPr>
  </w:style>
  <w:style w:type="character" w:customStyle="1" w:styleId="FooterChar">
    <w:name w:val="Footer Char"/>
    <w:basedOn w:val="DefaultParagraphFont"/>
    <w:link w:val="Footer"/>
    <w:uiPriority w:val="99"/>
    <w:rsid w:val="00385D8C"/>
  </w:style>
  <w:style w:type="character" w:customStyle="1" w:styleId="Heading3Char">
    <w:name w:val="Heading 3 Char"/>
    <w:basedOn w:val="DefaultParagraphFont"/>
    <w:link w:val="Heading3"/>
    <w:uiPriority w:val="9"/>
    <w:rsid w:val="00806FBC"/>
    <w:rPr>
      <w:rFonts w:ascii="Times New Roman" w:eastAsia="Times New Roman" w:hAnsi="Times New Roman" w:cs="Times New Roman"/>
      <w:b/>
      <w:bCs/>
      <w:sz w:val="27"/>
      <w:szCs w:val="27"/>
    </w:rPr>
  </w:style>
  <w:style w:type="character" w:customStyle="1" w:styleId="Heading2Char">
    <w:name w:val="Heading 2 Char"/>
    <w:basedOn w:val="DefaultParagraphFont"/>
    <w:link w:val="Heading2"/>
    <w:uiPriority w:val="9"/>
    <w:rsid w:val="00806FBC"/>
    <w:rPr>
      <w:rFonts w:asciiTheme="majorHAnsi" w:eastAsiaTheme="majorEastAsia" w:hAnsiTheme="majorHAnsi" w:cstheme="majorBidi"/>
      <w:color w:val="2E74B5" w:themeColor="accent1" w:themeShade="BF"/>
      <w:sz w:val="26"/>
      <w:szCs w:val="26"/>
    </w:rPr>
  </w:style>
  <w:style w:type="character" w:customStyle="1" w:styleId="anchor-text">
    <w:name w:val="anchor-text"/>
    <w:basedOn w:val="DefaultParagraphFont"/>
    <w:rsid w:val="00806FB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0594080">
      <w:bodyDiv w:val="1"/>
      <w:marLeft w:val="0"/>
      <w:marRight w:val="0"/>
      <w:marTop w:val="0"/>
      <w:marBottom w:val="0"/>
      <w:divBdr>
        <w:top w:val="none" w:sz="0" w:space="0" w:color="auto"/>
        <w:left w:val="none" w:sz="0" w:space="0" w:color="auto"/>
        <w:bottom w:val="none" w:sz="0" w:space="0" w:color="auto"/>
        <w:right w:val="none" w:sz="0" w:space="0" w:color="auto"/>
      </w:divBdr>
    </w:div>
    <w:div w:id="544217496">
      <w:bodyDiv w:val="1"/>
      <w:marLeft w:val="0"/>
      <w:marRight w:val="0"/>
      <w:marTop w:val="0"/>
      <w:marBottom w:val="0"/>
      <w:divBdr>
        <w:top w:val="none" w:sz="0" w:space="0" w:color="auto"/>
        <w:left w:val="none" w:sz="0" w:space="0" w:color="auto"/>
        <w:bottom w:val="none" w:sz="0" w:space="0" w:color="auto"/>
        <w:right w:val="none" w:sz="0" w:space="0" w:color="auto"/>
      </w:divBdr>
    </w:div>
    <w:div w:id="544483980">
      <w:bodyDiv w:val="1"/>
      <w:marLeft w:val="0"/>
      <w:marRight w:val="0"/>
      <w:marTop w:val="0"/>
      <w:marBottom w:val="0"/>
      <w:divBdr>
        <w:top w:val="none" w:sz="0" w:space="0" w:color="auto"/>
        <w:left w:val="none" w:sz="0" w:space="0" w:color="auto"/>
        <w:bottom w:val="none" w:sz="0" w:space="0" w:color="auto"/>
        <w:right w:val="none" w:sz="0" w:space="0" w:color="auto"/>
      </w:divBdr>
    </w:div>
    <w:div w:id="1248268364">
      <w:bodyDiv w:val="1"/>
      <w:marLeft w:val="0"/>
      <w:marRight w:val="0"/>
      <w:marTop w:val="0"/>
      <w:marBottom w:val="0"/>
      <w:divBdr>
        <w:top w:val="none" w:sz="0" w:space="0" w:color="auto"/>
        <w:left w:val="none" w:sz="0" w:space="0" w:color="auto"/>
        <w:bottom w:val="none" w:sz="0" w:space="0" w:color="auto"/>
        <w:right w:val="none" w:sz="0" w:space="0" w:color="auto"/>
      </w:divBdr>
    </w:div>
    <w:div w:id="1307588698">
      <w:bodyDiv w:val="1"/>
      <w:marLeft w:val="0"/>
      <w:marRight w:val="0"/>
      <w:marTop w:val="0"/>
      <w:marBottom w:val="0"/>
      <w:divBdr>
        <w:top w:val="none" w:sz="0" w:space="0" w:color="auto"/>
        <w:left w:val="none" w:sz="0" w:space="0" w:color="auto"/>
        <w:bottom w:val="none" w:sz="0" w:space="0" w:color="auto"/>
        <w:right w:val="none" w:sz="0" w:space="0" w:color="auto"/>
      </w:divBdr>
      <w:divsChild>
        <w:div w:id="600333651">
          <w:marLeft w:val="0"/>
          <w:marRight w:val="0"/>
          <w:marTop w:val="0"/>
          <w:marBottom w:val="0"/>
          <w:divBdr>
            <w:top w:val="none" w:sz="0" w:space="0" w:color="auto"/>
            <w:left w:val="none" w:sz="0" w:space="0" w:color="auto"/>
            <w:bottom w:val="none" w:sz="0" w:space="0" w:color="auto"/>
            <w:right w:val="none" w:sz="0" w:space="0" w:color="auto"/>
          </w:divBdr>
          <w:divsChild>
            <w:div w:id="1123496721">
              <w:marLeft w:val="0"/>
              <w:marRight w:val="0"/>
              <w:marTop w:val="0"/>
              <w:marBottom w:val="0"/>
              <w:divBdr>
                <w:top w:val="none" w:sz="0" w:space="0" w:color="auto"/>
                <w:left w:val="none" w:sz="0" w:space="0" w:color="auto"/>
                <w:bottom w:val="none" w:sz="0" w:space="0" w:color="auto"/>
                <w:right w:val="none" w:sz="0" w:space="0" w:color="auto"/>
              </w:divBdr>
              <w:divsChild>
                <w:div w:id="138613072">
                  <w:marLeft w:val="0"/>
                  <w:marRight w:val="0"/>
                  <w:marTop w:val="0"/>
                  <w:marBottom w:val="0"/>
                  <w:divBdr>
                    <w:top w:val="none" w:sz="0" w:space="0" w:color="auto"/>
                    <w:left w:val="none" w:sz="0" w:space="0" w:color="auto"/>
                    <w:bottom w:val="none" w:sz="0" w:space="0" w:color="auto"/>
                    <w:right w:val="none" w:sz="0" w:space="0" w:color="auto"/>
                  </w:divBdr>
                  <w:divsChild>
                    <w:div w:id="1866946132">
                      <w:marLeft w:val="0"/>
                      <w:marRight w:val="0"/>
                      <w:marTop w:val="0"/>
                      <w:marBottom w:val="0"/>
                      <w:divBdr>
                        <w:top w:val="none" w:sz="0" w:space="0" w:color="auto"/>
                        <w:left w:val="none" w:sz="0" w:space="0" w:color="auto"/>
                        <w:bottom w:val="none" w:sz="0" w:space="0" w:color="auto"/>
                        <w:right w:val="none" w:sz="0" w:space="0" w:color="auto"/>
                      </w:divBdr>
                      <w:divsChild>
                        <w:div w:id="575551631">
                          <w:marLeft w:val="0"/>
                          <w:marRight w:val="0"/>
                          <w:marTop w:val="0"/>
                          <w:marBottom w:val="0"/>
                          <w:divBdr>
                            <w:top w:val="none" w:sz="0" w:space="0" w:color="auto"/>
                            <w:left w:val="none" w:sz="0" w:space="0" w:color="auto"/>
                            <w:bottom w:val="none" w:sz="0" w:space="0" w:color="auto"/>
                            <w:right w:val="none" w:sz="0" w:space="0" w:color="auto"/>
                          </w:divBdr>
                          <w:divsChild>
                            <w:div w:id="1652252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08579514">
      <w:bodyDiv w:val="1"/>
      <w:marLeft w:val="0"/>
      <w:marRight w:val="0"/>
      <w:marTop w:val="0"/>
      <w:marBottom w:val="0"/>
      <w:divBdr>
        <w:top w:val="none" w:sz="0" w:space="0" w:color="auto"/>
        <w:left w:val="none" w:sz="0" w:space="0" w:color="auto"/>
        <w:bottom w:val="none" w:sz="0" w:space="0" w:color="auto"/>
        <w:right w:val="none" w:sz="0" w:space="0" w:color="auto"/>
      </w:divBdr>
      <w:divsChild>
        <w:div w:id="1014959951">
          <w:marLeft w:val="0"/>
          <w:marRight w:val="0"/>
          <w:marTop w:val="0"/>
          <w:marBottom w:val="0"/>
          <w:divBdr>
            <w:top w:val="none" w:sz="0" w:space="0" w:color="auto"/>
            <w:left w:val="none" w:sz="0" w:space="0" w:color="auto"/>
            <w:bottom w:val="none" w:sz="0" w:space="0" w:color="auto"/>
            <w:right w:val="none" w:sz="0" w:space="0" w:color="auto"/>
          </w:divBdr>
          <w:divsChild>
            <w:div w:id="2003774262">
              <w:marLeft w:val="0"/>
              <w:marRight w:val="0"/>
              <w:marTop w:val="0"/>
              <w:marBottom w:val="0"/>
              <w:divBdr>
                <w:top w:val="none" w:sz="0" w:space="0" w:color="auto"/>
                <w:left w:val="none" w:sz="0" w:space="0" w:color="auto"/>
                <w:bottom w:val="none" w:sz="0" w:space="0" w:color="auto"/>
                <w:right w:val="none" w:sz="0" w:space="0" w:color="auto"/>
              </w:divBdr>
              <w:divsChild>
                <w:div w:id="219365824">
                  <w:marLeft w:val="0"/>
                  <w:marRight w:val="0"/>
                  <w:marTop w:val="0"/>
                  <w:marBottom w:val="300"/>
                  <w:divBdr>
                    <w:top w:val="none" w:sz="0" w:space="0" w:color="auto"/>
                    <w:left w:val="none" w:sz="0" w:space="0" w:color="auto"/>
                    <w:bottom w:val="none" w:sz="0" w:space="0" w:color="auto"/>
                    <w:right w:val="none" w:sz="0" w:space="0" w:color="auto"/>
                  </w:divBdr>
                  <w:divsChild>
                    <w:div w:id="1975405610">
                      <w:marLeft w:val="0"/>
                      <w:marRight w:val="0"/>
                      <w:marTop w:val="0"/>
                      <w:marBottom w:val="0"/>
                      <w:divBdr>
                        <w:top w:val="none" w:sz="0" w:space="0" w:color="auto"/>
                        <w:left w:val="none" w:sz="0" w:space="0" w:color="auto"/>
                        <w:bottom w:val="none" w:sz="0" w:space="0" w:color="auto"/>
                        <w:right w:val="none" w:sz="0" w:space="0" w:color="auto"/>
                      </w:divBdr>
                      <w:divsChild>
                        <w:div w:id="2106265257">
                          <w:marLeft w:val="0"/>
                          <w:marRight w:val="0"/>
                          <w:marTop w:val="0"/>
                          <w:marBottom w:val="0"/>
                          <w:divBdr>
                            <w:top w:val="none" w:sz="0" w:space="0" w:color="auto"/>
                            <w:left w:val="none" w:sz="0" w:space="0" w:color="auto"/>
                            <w:bottom w:val="none" w:sz="0" w:space="0" w:color="auto"/>
                            <w:right w:val="none" w:sz="0" w:space="0" w:color="auto"/>
                          </w:divBdr>
                          <w:divsChild>
                            <w:div w:id="133104553">
                              <w:marLeft w:val="0"/>
                              <w:marRight w:val="0"/>
                              <w:marTop w:val="0"/>
                              <w:marBottom w:val="0"/>
                              <w:divBdr>
                                <w:top w:val="none" w:sz="0" w:space="0" w:color="auto"/>
                                <w:left w:val="none" w:sz="0" w:space="0" w:color="auto"/>
                                <w:bottom w:val="none" w:sz="0" w:space="0" w:color="auto"/>
                                <w:right w:val="none" w:sz="0" w:space="0" w:color="auto"/>
                              </w:divBdr>
                              <w:divsChild>
                                <w:div w:id="1003357691">
                                  <w:marLeft w:val="0"/>
                                  <w:marRight w:val="0"/>
                                  <w:marTop w:val="0"/>
                                  <w:marBottom w:val="0"/>
                                  <w:divBdr>
                                    <w:top w:val="none" w:sz="0" w:space="0" w:color="auto"/>
                                    <w:left w:val="none" w:sz="0" w:space="0" w:color="auto"/>
                                    <w:bottom w:val="none" w:sz="0" w:space="0" w:color="auto"/>
                                    <w:right w:val="none" w:sz="0" w:space="0" w:color="auto"/>
                                  </w:divBdr>
                                  <w:divsChild>
                                    <w:div w:id="1098597919">
                                      <w:marLeft w:val="0"/>
                                      <w:marRight w:val="0"/>
                                      <w:marTop w:val="0"/>
                                      <w:marBottom w:val="0"/>
                                      <w:divBdr>
                                        <w:top w:val="none" w:sz="0" w:space="0" w:color="auto"/>
                                        <w:left w:val="none" w:sz="0" w:space="0" w:color="auto"/>
                                        <w:bottom w:val="none" w:sz="0" w:space="0" w:color="auto"/>
                                        <w:right w:val="none" w:sz="0" w:space="0" w:color="auto"/>
                                      </w:divBdr>
                                      <w:divsChild>
                                        <w:div w:id="1129057566">
                                          <w:marLeft w:val="0"/>
                                          <w:marRight w:val="0"/>
                                          <w:marTop w:val="0"/>
                                          <w:marBottom w:val="0"/>
                                          <w:divBdr>
                                            <w:top w:val="none" w:sz="0" w:space="0" w:color="auto"/>
                                            <w:left w:val="none" w:sz="0" w:space="0" w:color="auto"/>
                                            <w:bottom w:val="none" w:sz="0" w:space="0" w:color="auto"/>
                                            <w:right w:val="none" w:sz="0" w:space="0" w:color="auto"/>
                                          </w:divBdr>
                                          <w:divsChild>
                                            <w:div w:id="668675113">
                                              <w:marLeft w:val="0"/>
                                              <w:marRight w:val="0"/>
                                              <w:marTop w:val="0"/>
                                              <w:marBottom w:val="0"/>
                                              <w:divBdr>
                                                <w:top w:val="none" w:sz="0" w:space="0" w:color="auto"/>
                                                <w:left w:val="none" w:sz="0" w:space="0" w:color="auto"/>
                                                <w:bottom w:val="none" w:sz="0" w:space="0" w:color="auto"/>
                                                <w:right w:val="none" w:sz="0" w:space="0" w:color="auto"/>
                                              </w:divBdr>
                                              <w:divsChild>
                                                <w:div w:id="1736902007">
                                                  <w:marLeft w:val="0"/>
                                                  <w:marRight w:val="0"/>
                                                  <w:marTop w:val="0"/>
                                                  <w:marBottom w:val="0"/>
                                                  <w:divBdr>
                                                    <w:top w:val="none" w:sz="0" w:space="0" w:color="auto"/>
                                                    <w:left w:val="none" w:sz="0" w:space="0" w:color="auto"/>
                                                    <w:bottom w:val="none" w:sz="0" w:space="0" w:color="auto"/>
                                                    <w:right w:val="none" w:sz="0" w:space="0" w:color="auto"/>
                                                  </w:divBdr>
                                                  <w:divsChild>
                                                    <w:div w:id="566840033">
                                                      <w:marLeft w:val="0"/>
                                                      <w:marRight w:val="0"/>
                                                      <w:marTop w:val="0"/>
                                                      <w:marBottom w:val="0"/>
                                                      <w:divBdr>
                                                        <w:top w:val="none" w:sz="0" w:space="0" w:color="auto"/>
                                                        <w:left w:val="none" w:sz="0" w:space="0" w:color="auto"/>
                                                        <w:bottom w:val="none" w:sz="0" w:space="0" w:color="auto"/>
                                                        <w:right w:val="none" w:sz="0" w:space="0" w:color="auto"/>
                                                      </w:divBdr>
                                                      <w:divsChild>
                                                        <w:div w:id="109783707">
                                                          <w:marLeft w:val="0"/>
                                                          <w:marRight w:val="0"/>
                                                          <w:marTop w:val="0"/>
                                                          <w:marBottom w:val="0"/>
                                                          <w:divBdr>
                                                            <w:top w:val="none" w:sz="0" w:space="0" w:color="auto"/>
                                                            <w:left w:val="none" w:sz="0" w:space="0" w:color="auto"/>
                                                            <w:bottom w:val="none" w:sz="0" w:space="0" w:color="auto"/>
                                                            <w:right w:val="none" w:sz="0" w:space="0" w:color="auto"/>
                                                          </w:divBdr>
                                                          <w:divsChild>
                                                            <w:div w:id="450561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7116483">
                                                      <w:marLeft w:val="0"/>
                                                      <w:marRight w:val="0"/>
                                                      <w:marTop w:val="0"/>
                                                      <w:marBottom w:val="0"/>
                                                      <w:divBdr>
                                                        <w:top w:val="none" w:sz="0" w:space="0" w:color="auto"/>
                                                        <w:left w:val="none" w:sz="0" w:space="0" w:color="auto"/>
                                                        <w:bottom w:val="none" w:sz="0" w:space="0" w:color="auto"/>
                                                        <w:right w:val="none" w:sz="0" w:space="0" w:color="auto"/>
                                                      </w:divBdr>
                                                      <w:divsChild>
                                                        <w:div w:id="1233200679">
                                                          <w:marLeft w:val="0"/>
                                                          <w:marRight w:val="0"/>
                                                          <w:marTop w:val="0"/>
                                                          <w:marBottom w:val="0"/>
                                                          <w:divBdr>
                                                            <w:top w:val="none" w:sz="0" w:space="0" w:color="auto"/>
                                                            <w:left w:val="none" w:sz="0" w:space="0" w:color="auto"/>
                                                            <w:bottom w:val="none" w:sz="0" w:space="0" w:color="auto"/>
                                                            <w:right w:val="none" w:sz="0" w:space="0" w:color="auto"/>
                                                          </w:divBdr>
                                                        </w:div>
                                                        <w:div w:id="291592821">
                                                          <w:marLeft w:val="0"/>
                                                          <w:marRight w:val="0"/>
                                                          <w:marTop w:val="0"/>
                                                          <w:marBottom w:val="0"/>
                                                          <w:divBdr>
                                                            <w:top w:val="none" w:sz="0" w:space="0" w:color="auto"/>
                                                            <w:left w:val="none" w:sz="0" w:space="0" w:color="auto"/>
                                                            <w:bottom w:val="none" w:sz="0" w:space="0" w:color="auto"/>
                                                            <w:right w:val="none" w:sz="0" w:space="0" w:color="auto"/>
                                                          </w:divBdr>
                                                          <w:divsChild>
                                                            <w:div w:id="897516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he.wikipedia.org/wiki/%D7%9E%D7%A0%D7%94%D7%9C_%D7%94%D7%9E%D7%96%D7%95%D7%9F_%D7%95%D7%94%D7%AA%D7%A8%D7%95%D7%A4%D7%95%D7%AA_%D7%94%D7%90%D7%9E%D7%A8%D7%99%D7%A7%D7%90%D7%99" TargetMode="External"/><Relationship Id="rId13" Type="http://schemas.openxmlformats.org/officeDocument/2006/relationships/hyperlink" Target="https://www.elelyso.com/"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s://www.sciencedirect.com/science/book/9780123850157"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www.nih.gov/"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www.sciencedirect.com/topics/neuroscience/recombinant-proteins" TargetMode="External"/><Relationship Id="rId5" Type="http://schemas.openxmlformats.org/officeDocument/2006/relationships/footnotes" Target="footnotes.xml"/><Relationship Id="rId15" Type="http://schemas.openxmlformats.org/officeDocument/2006/relationships/hyperlink" Target="https://patents.justia.com/assignee/protalix?page=2" TargetMode="External"/><Relationship Id="rId10" Type="http://schemas.openxmlformats.org/officeDocument/2006/relationships/hyperlink" Target="http://protalix.com/about/" TargetMode="External"/><Relationship Id="rId4" Type="http://schemas.openxmlformats.org/officeDocument/2006/relationships/webSettings" Target="webSettings.xml"/><Relationship Id="rId9" Type="http://schemas.openxmlformats.org/officeDocument/2006/relationships/hyperlink" Target="https://www.bioteach.org.il/%D7%A4%D7%A8%D7%99%D7%A6%D7%95%D7%AA-%D7%93%D7%A8%D7%9A-%D7%91%D7%91%D7%99%D7%95%D7%9C%D7%95%D7%92%D7%99%D7%94-%D7%91-70-%D7%A9%D7%A0%D7%95%D7%AA-%D7%94%D7%9E%D7%93%D7%99%D7%A0%D7%94-%D7%A4%D7%A2%D7%99%D7%9C%D7%95%D7%99%D7%95%D7%AA/2012/4241-%D7%A4%D7%A2%D7%99%D7%9C%D7%95%D7%AA-%D7%AA%D7%97%D7%A8%D7%95%D7%AA%D7%99%D7%AA-%D7%91%D7%A7%D7%91%D7%95%D7%A6%D7%95%D7%AA-%D7%91%D7%A0%D7%95%D7%A9%D7%90-%D7%A9%D7%9C-%D7%94%D7%A0%D7%93%D7%A1%D7%94-%D7%92%D7%A0%D7%98%D7%99%D7%AA-%D7%91%D7%99%D7%98%D7%95%D7%99-%D7%A9%D7%9C-%D7%97%D7%9C%D7%91%D7%95%D7%9F-%D7%A8%D7%A7%D7%95%D7%9E%D7%91%D7%99%D7%A0%D7%A0%D7%98%D7%99-%D7%91%D7%A6%D7%9E%D7%97%D7%99%D7%9D/file" TargetMode="External"/><Relationship Id="rId14" Type="http://schemas.openxmlformats.org/officeDocument/2006/relationships/hyperlink" Target="https://www.nature.com/articles/gim20126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9F9696-BCD5-45CD-B14D-A224D6311B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132</TotalTime>
  <Pages>3</Pages>
  <Words>1006</Words>
  <Characters>5031</Characters>
  <Application>Microsoft Office Word</Application>
  <DocSecurity>0</DocSecurity>
  <Lines>41</Lines>
  <Paragraphs>12</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Weizmann Institute of Sceince</Company>
  <LinksUpToDate>false</LinksUpToDate>
  <CharactersWithSpaces>6025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Shiran Maskit</dc:creator>
  <cp:keywords/>
  <dc:description/>
  <cp:lastModifiedBy>Windows User</cp:lastModifiedBy>
  <cp:revision>6</cp:revision>
  <dcterms:created xsi:type="dcterms:W3CDTF">2018-06-14T11:17:00Z</dcterms:created>
  <dcterms:modified xsi:type="dcterms:W3CDTF">2018-07-24T07:34:00Z</dcterms:modified>
</cp:coreProperties>
</file>