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אושרה התרופה אלליסו (Elelyso)  למחלת הגושה. התרופה מיוצרת בתרביות תאי צמחים בחברת &quot;פרוטליקס&quot;. "/>
      </w:tblPr>
      <w:tblGrid>
        <w:gridCol w:w="1382"/>
        <w:gridCol w:w="7368"/>
      </w:tblGrid>
      <w:tr w:rsidR="00C31F15" w14:paraId="1B25825C" w14:textId="77777777" w:rsidTr="00C31F15">
        <w:trPr>
          <w:trHeight w:val="706"/>
        </w:trPr>
        <w:tc>
          <w:tcPr>
            <w:tcW w:w="1382" w:type="dxa"/>
          </w:tcPr>
          <w:p w14:paraId="1566A38D" w14:textId="620F4024" w:rsidR="00C31F15" w:rsidRPr="00E9516D" w:rsidRDefault="00C31F15" w:rsidP="00147C00">
            <w:pPr>
              <w:rPr>
                <w:b/>
                <w:bCs/>
                <w:sz w:val="24"/>
                <w:szCs w:val="24"/>
                <w:rtl/>
              </w:rPr>
            </w:pPr>
            <w:r>
              <w:rPr>
                <w:b/>
                <w:bCs/>
                <w:sz w:val="24"/>
                <w:szCs w:val="24"/>
                <w:rtl/>
                <w:lang w:bidi="ar-SA"/>
              </w:rPr>
              <w:t>السنة</w:t>
            </w:r>
          </w:p>
        </w:tc>
        <w:tc>
          <w:tcPr>
            <w:tcW w:w="7368" w:type="dxa"/>
          </w:tcPr>
          <w:p w14:paraId="4080756C" w14:textId="77777777" w:rsidR="00C31F15" w:rsidRPr="003C63D2" w:rsidRDefault="00C31F15" w:rsidP="00147C00">
            <w:pPr>
              <w:rPr>
                <w:rtl/>
              </w:rPr>
            </w:pPr>
            <w:r>
              <w:rPr>
                <w:rFonts w:hint="cs"/>
                <w:rtl/>
              </w:rPr>
              <w:t>2012</w:t>
            </w:r>
          </w:p>
        </w:tc>
      </w:tr>
      <w:tr w:rsidR="00C31F15" w14:paraId="0FBC8117" w14:textId="77777777" w:rsidTr="00C31F15">
        <w:trPr>
          <w:trHeight w:val="664"/>
        </w:trPr>
        <w:tc>
          <w:tcPr>
            <w:tcW w:w="1382" w:type="dxa"/>
          </w:tcPr>
          <w:p w14:paraId="2EA28F02" w14:textId="7E1C891B" w:rsidR="00C31F15" w:rsidRPr="00E9516D" w:rsidRDefault="00C31F15" w:rsidP="00147C00">
            <w:pPr>
              <w:rPr>
                <w:b/>
                <w:bCs/>
                <w:sz w:val="24"/>
                <w:szCs w:val="24"/>
                <w:rtl/>
              </w:rPr>
            </w:pPr>
            <w:r>
              <w:rPr>
                <w:b/>
                <w:bCs/>
                <w:sz w:val="24"/>
                <w:szCs w:val="24"/>
                <w:rtl/>
                <w:lang w:bidi="ar-SA"/>
              </w:rPr>
              <w:t>الاكتشاف</w:t>
            </w:r>
          </w:p>
        </w:tc>
        <w:tc>
          <w:tcPr>
            <w:tcW w:w="7368" w:type="dxa"/>
          </w:tcPr>
          <w:p w14:paraId="6216620D" w14:textId="25A22620" w:rsidR="00C31F15" w:rsidRPr="00AC5DA2" w:rsidRDefault="00C31F15" w:rsidP="00C31F15">
            <w:pPr>
              <w:rPr>
                <w:sz w:val="24"/>
                <w:szCs w:val="24"/>
                <w:rtl/>
              </w:rPr>
            </w:pPr>
            <w:r>
              <w:rPr>
                <w:rFonts w:hint="cs"/>
                <w:sz w:val="24"/>
                <w:szCs w:val="24"/>
                <w:rtl/>
                <w:lang w:bidi="ar-SA"/>
              </w:rPr>
              <w:t xml:space="preserve">تمت المصادقة على دواء الليسو </w:t>
            </w:r>
            <w:r>
              <w:rPr>
                <w:sz w:val="24"/>
                <w:szCs w:val="24"/>
              </w:rPr>
              <w:t>(Elelyso)</w:t>
            </w:r>
            <w:r>
              <w:rPr>
                <w:rFonts w:hint="cs"/>
                <w:sz w:val="24"/>
                <w:szCs w:val="24"/>
                <w:rtl/>
              </w:rPr>
              <w:t xml:space="preserve">  </w:t>
            </w:r>
            <w:r w:rsidR="00AB31FF">
              <w:rPr>
                <w:rFonts w:hint="cs"/>
                <w:sz w:val="24"/>
                <w:szCs w:val="24"/>
                <w:rtl/>
                <w:lang w:bidi="ar-SA"/>
              </w:rPr>
              <w:t>ل</w:t>
            </w:r>
            <w:r>
              <w:rPr>
                <w:rFonts w:hint="cs"/>
                <w:sz w:val="24"/>
                <w:szCs w:val="24"/>
                <w:rtl/>
                <w:lang w:bidi="ar-SA"/>
              </w:rPr>
              <w:t>مرض غوشيه. يتم إنتاج الدواء في مزارع خلايا نباتية في</w:t>
            </w:r>
            <w:r w:rsidR="00417843">
              <w:rPr>
                <w:rFonts w:hint="cs"/>
                <w:sz w:val="24"/>
                <w:szCs w:val="24"/>
                <w:rtl/>
                <w:lang w:bidi="ar-SA"/>
              </w:rPr>
              <w:t xml:space="preserve"> شرك</w:t>
            </w:r>
            <w:r>
              <w:rPr>
                <w:rFonts w:hint="cs"/>
                <w:sz w:val="24"/>
                <w:szCs w:val="24"/>
                <w:rtl/>
                <w:lang w:bidi="ar-SA"/>
              </w:rPr>
              <w:t xml:space="preserve">ة "بروتليكس".  </w:t>
            </w:r>
          </w:p>
        </w:tc>
      </w:tr>
      <w:tr w:rsidR="00C31F15" w14:paraId="0AD1CAE3" w14:textId="77777777" w:rsidTr="00C31F15">
        <w:trPr>
          <w:trHeight w:val="706"/>
        </w:trPr>
        <w:tc>
          <w:tcPr>
            <w:tcW w:w="1382" w:type="dxa"/>
          </w:tcPr>
          <w:p w14:paraId="339D6E8A" w14:textId="27C4BD75" w:rsidR="00C31F15" w:rsidRPr="00E9516D" w:rsidRDefault="00C31F15" w:rsidP="00147C00">
            <w:pPr>
              <w:rPr>
                <w:b/>
                <w:bCs/>
                <w:sz w:val="24"/>
                <w:szCs w:val="24"/>
                <w:rtl/>
              </w:rPr>
            </w:pPr>
            <w:r>
              <w:rPr>
                <w:b/>
                <w:bCs/>
                <w:sz w:val="24"/>
                <w:szCs w:val="24"/>
                <w:rtl/>
                <w:lang w:bidi="ar-SA"/>
              </w:rPr>
              <w:t>الباحثون المشتركون</w:t>
            </w:r>
          </w:p>
        </w:tc>
        <w:tc>
          <w:tcPr>
            <w:tcW w:w="7368" w:type="dxa"/>
          </w:tcPr>
          <w:p w14:paraId="1B47D13C" w14:textId="5AD6B165" w:rsidR="00C31F15" w:rsidRPr="00AC5DA2" w:rsidRDefault="00C31F15" w:rsidP="00C31F15">
            <w:pPr>
              <w:rPr>
                <w:sz w:val="24"/>
                <w:szCs w:val="24"/>
                <w:rtl/>
              </w:rPr>
            </w:pPr>
            <w:r>
              <w:rPr>
                <w:rFonts w:hint="cs"/>
                <w:sz w:val="24"/>
                <w:szCs w:val="24"/>
                <w:rtl/>
                <w:lang w:bidi="ar-SA"/>
              </w:rPr>
              <w:t xml:space="preserve">د. يوسف شالتيال </w:t>
            </w:r>
            <w:r>
              <w:rPr>
                <w:rFonts w:hint="cs"/>
                <w:sz w:val="24"/>
                <w:szCs w:val="24"/>
                <w:rtl/>
              </w:rPr>
              <w:t xml:space="preserve"> </w:t>
            </w:r>
          </w:p>
          <w:p w14:paraId="2D32A432" w14:textId="77777777" w:rsidR="00C31F15" w:rsidRPr="001D38E1" w:rsidRDefault="00C31F15" w:rsidP="00147C00">
            <w:pPr>
              <w:rPr>
                <w:b/>
                <w:bCs/>
                <w:sz w:val="24"/>
                <w:szCs w:val="24"/>
                <w:rtl/>
              </w:rPr>
            </w:pPr>
          </w:p>
        </w:tc>
      </w:tr>
      <w:tr w:rsidR="00C31F15" w14:paraId="6BB825FF" w14:textId="77777777" w:rsidTr="00C31F15">
        <w:trPr>
          <w:trHeight w:val="664"/>
        </w:trPr>
        <w:tc>
          <w:tcPr>
            <w:tcW w:w="1382" w:type="dxa"/>
          </w:tcPr>
          <w:p w14:paraId="42EB0EC0" w14:textId="41A4F3AA" w:rsidR="00C31F15" w:rsidRPr="00E9516D" w:rsidRDefault="00C31F15" w:rsidP="00147C00">
            <w:pPr>
              <w:rPr>
                <w:b/>
                <w:bCs/>
                <w:sz w:val="24"/>
                <w:szCs w:val="24"/>
                <w:rtl/>
              </w:rPr>
            </w:pPr>
            <w:r>
              <w:rPr>
                <w:b/>
                <w:bCs/>
                <w:sz w:val="24"/>
                <w:szCs w:val="24"/>
                <w:rtl/>
                <w:lang w:bidi="ar-SA"/>
              </w:rPr>
              <w:t>صور الباحثون</w:t>
            </w:r>
          </w:p>
        </w:tc>
        <w:tc>
          <w:tcPr>
            <w:tcW w:w="7368" w:type="dxa"/>
          </w:tcPr>
          <w:p w14:paraId="040FC2FD" w14:textId="1E1ADE1F" w:rsidR="00C31F15" w:rsidRPr="003C63D2" w:rsidRDefault="00C31F15" w:rsidP="00AC5DA2">
            <w:pPr>
              <w:rPr>
                <w:rtl/>
              </w:rPr>
            </w:pPr>
            <w:r>
              <w:rPr>
                <w:rFonts w:hint="cs"/>
                <w:rtl/>
              </w:rPr>
              <w:t xml:space="preserve"> </w:t>
            </w:r>
            <w:r w:rsidRPr="00515294">
              <w:rPr>
                <w:rFonts w:cs="Arial"/>
                <w:noProof/>
                <w:rtl/>
              </w:rPr>
              <w:drawing>
                <wp:inline distT="0" distB="0" distL="0" distR="0" wp14:anchorId="21456580" wp14:editId="0B65427C">
                  <wp:extent cx="1238250" cy="1850655"/>
                  <wp:effectExtent l="0" t="0" r="0" b="0"/>
                  <wp:docPr id="1" name="תמונה 1" title="ד&quot;ר יוסף שאלתי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_GAA0018.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1034" cy="1854817"/>
                          </a:xfrm>
                          <a:prstGeom prst="rect">
                            <a:avLst/>
                          </a:prstGeom>
                          <a:noFill/>
                          <a:ln>
                            <a:noFill/>
                          </a:ln>
                        </pic:spPr>
                      </pic:pic>
                    </a:graphicData>
                  </a:graphic>
                </wp:inline>
              </w:drawing>
            </w:r>
          </w:p>
        </w:tc>
      </w:tr>
      <w:tr w:rsidR="00C31F15" w14:paraId="03B2B25F" w14:textId="77777777" w:rsidTr="00C31F15">
        <w:trPr>
          <w:trHeight w:val="706"/>
        </w:trPr>
        <w:tc>
          <w:tcPr>
            <w:tcW w:w="1382" w:type="dxa"/>
          </w:tcPr>
          <w:p w14:paraId="2CBA73CA" w14:textId="7024A981" w:rsidR="00C31F15" w:rsidRPr="00E9516D" w:rsidRDefault="00C31F15" w:rsidP="00147C00">
            <w:pPr>
              <w:rPr>
                <w:b/>
                <w:bCs/>
                <w:sz w:val="24"/>
                <w:szCs w:val="24"/>
                <w:rtl/>
              </w:rPr>
            </w:pPr>
            <w:r>
              <w:rPr>
                <w:b/>
                <w:bCs/>
                <w:sz w:val="24"/>
                <w:szCs w:val="24"/>
                <w:rtl/>
                <w:lang w:bidi="ar-SA"/>
              </w:rPr>
              <w:t>المؤسسة الأكاديمية التي يعمل فيها الباحثون</w:t>
            </w:r>
          </w:p>
        </w:tc>
        <w:tc>
          <w:tcPr>
            <w:tcW w:w="7368" w:type="dxa"/>
          </w:tcPr>
          <w:p w14:paraId="3422A95C" w14:textId="1633B463" w:rsidR="00C31F15" w:rsidRDefault="00C31F15" w:rsidP="00C31F15">
            <w:pPr>
              <w:rPr>
                <w:rtl/>
                <w:lang w:bidi="ar-SA"/>
              </w:rPr>
            </w:pPr>
            <w:r>
              <w:rPr>
                <w:rFonts w:hint="cs"/>
                <w:rtl/>
                <w:lang w:bidi="ar-SA"/>
              </w:rPr>
              <w:t>يحمل لقب الدكتواره في بي</w:t>
            </w:r>
            <w:r w:rsidR="008105E8">
              <w:rPr>
                <w:rFonts w:hint="cs"/>
                <w:rtl/>
                <w:lang w:bidi="ar-SA"/>
              </w:rPr>
              <w:t>وكيمياء النبات من معهد وايزمن.</w:t>
            </w:r>
          </w:p>
          <w:p w14:paraId="30C7FFF2" w14:textId="00AEF242" w:rsidR="00C31F15" w:rsidRPr="00417843" w:rsidRDefault="00C31F15" w:rsidP="00417843">
            <w:r w:rsidRPr="00417843">
              <w:rPr>
                <w:rFonts w:hint="cs"/>
                <w:rtl/>
                <w:lang w:bidi="ar-SA"/>
              </w:rPr>
              <w:t xml:space="preserve">يعمل اليوم نائب مدير عام البحث والتطوير في شركة بروتليكس التي أنشأها.  </w:t>
            </w:r>
          </w:p>
        </w:tc>
      </w:tr>
      <w:tr w:rsidR="00C31F15" w14:paraId="0118A085" w14:textId="77777777" w:rsidTr="00C31F15">
        <w:trPr>
          <w:trHeight w:val="706"/>
        </w:trPr>
        <w:tc>
          <w:tcPr>
            <w:tcW w:w="1382" w:type="dxa"/>
          </w:tcPr>
          <w:p w14:paraId="6E101F24" w14:textId="4987B785" w:rsidR="00C31F15" w:rsidRDefault="00C31F15" w:rsidP="00147C00">
            <w:pPr>
              <w:rPr>
                <w:b/>
                <w:bCs/>
                <w:sz w:val="24"/>
                <w:szCs w:val="24"/>
                <w:rtl/>
              </w:rPr>
            </w:pPr>
            <w:r>
              <w:rPr>
                <w:b/>
                <w:bCs/>
                <w:sz w:val="24"/>
                <w:szCs w:val="24"/>
                <w:rtl/>
                <w:lang w:bidi="ar-SA"/>
              </w:rPr>
              <w:t>جوائز مهمة حاز عليها الباحثون</w:t>
            </w:r>
          </w:p>
        </w:tc>
        <w:tc>
          <w:tcPr>
            <w:tcW w:w="7368" w:type="dxa"/>
          </w:tcPr>
          <w:p w14:paraId="15ABF668" w14:textId="77777777" w:rsidR="00C31F15" w:rsidRPr="00F40B63" w:rsidRDefault="00C31F15" w:rsidP="00147C00">
            <w:pPr>
              <w:rPr>
                <w:rtl/>
              </w:rPr>
            </w:pPr>
          </w:p>
        </w:tc>
      </w:tr>
      <w:tr w:rsidR="00C31F15" w14:paraId="29EC215F" w14:textId="77777777" w:rsidTr="00C31F15">
        <w:trPr>
          <w:trHeight w:val="664"/>
        </w:trPr>
        <w:tc>
          <w:tcPr>
            <w:tcW w:w="1382" w:type="dxa"/>
          </w:tcPr>
          <w:p w14:paraId="1D417010" w14:textId="76983451" w:rsidR="00C31F15" w:rsidRPr="00E9516D" w:rsidRDefault="00C31F15" w:rsidP="00147C00">
            <w:pPr>
              <w:rPr>
                <w:b/>
                <w:bCs/>
                <w:sz w:val="24"/>
                <w:szCs w:val="24"/>
                <w:rtl/>
              </w:rPr>
            </w:pPr>
            <w:r>
              <w:rPr>
                <w:b/>
                <w:bCs/>
                <w:sz w:val="24"/>
                <w:szCs w:val="24"/>
                <w:rtl/>
                <w:lang w:bidi="ar-SA"/>
              </w:rPr>
              <w:t>الموضوع في المنهج التعليمي الذي يمكن أن نربط بينه وبين الاكتشاف</w:t>
            </w:r>
          </w:p>
        </w:tc>
        <w:tc>
          <w:tcPr>
            <w:tcW w:w="7368" w:type="dxa"/>
          </w:tcPr>
          <w:p w14:paraId="01F1A446" w14:textId="78E61B27" w:rsidR="00C31F15" w:rsidRPr="00124E2E" w:rsidRDefault="00417843" w:rsidP="00417843">
            <w:pPr>
              <w:rPr>
                <w:rFonts w:ascii="Arial" w:hAnsi="Arial" w:cs="Arial"/>
                <w:bCs/>
                <w:rtl/>
              </w:rPr>
            </w:pPr>
            <w:r>
              <w:rPr>
                <w:rFonts w:ascii="Arial" w:hAnsi="Arial" w:cs="Arial" w:hint="cs"/>
                <w:bCs/>
                <w:rtl/>
                <w:lang w:bidi="ar-SA"/>
              </w:rPr>
              <w:t xml:space="preserve">الموضوع الأساسي </w:t>
            </w:r>
          </w:p>
          <w:p w14:paraId="35285F89" w14:textId="589D58B7" w:rsidR="00C31F15" w:rsidRPr="00124E2E" w:rsidRDefault="00417843" w:rsidP="00417843">
            <w:pPr>
              <w:rPr>
                <w:rFonts w:ascii="Arial" w:hAnsi="Arial" w:cs="Arial"/>
                <w:b/>
                <w:u w:val="single"/>
                <w:rtl/>
                <w:lang w:bidi="ar-SA"/>
              </w:rPr>
            </w:pPr>
            <w:r>
              <w:rPr>
                <w:rFonts w:ascii="Arial" w:hAnsi="Arial" w:cs="Arial" w:hint="cs"/>
                <w:b/>
                <w:u w:val="single"/>
                <w:rtl/>
                <w:lang w:bidi="ar-SA"/>
              </w:rPr>
              <w:t>الخلي</w:t>
            </w:r>
            <w:r w:rsidR="00AB31FF">
              <w:rPr>
                <w:rFonts w:ascii="Arial" w:hAnsi="Arial" w:cs="Arial" w:hint="cs"/>
                <w:b/>
                <w:u w:val="single"/>
                <w:rtl/>
                <w:lang w:bidi="ar-SA"/>
              </w:rPr>
              <w:t>ّ</w:t>
            </w:r>
            <w:r>
              <w:rPr>
                <w:rFonts w:ascii="Arial" w:hAnsi="Arial" w:cs="Arial" w:hint="cs"/>
                <w:b/>
                <w:u w:val="single"/>
                <w:rtl/>
                <w:lang w:bidi="ar-SA"/>
              </w:rPr>
              <w:t xml:space="preserve">ة </w:t>
            </w:r>
            <w:r w:rsidR="00C31F15" w:rsidRPr="00124E2E">
              <w:rPr>
                <w:rFonts w:ascii="Arial" w:hAnsi="Arial" w:cs="Arial" w:hint="cs"/>
                <w:b/>
                <w:u w:val="single"/>
                <w:rtl/>
              </w:rPr>
              <w:t xml:space="preserve"> </w:t>
            </w:r>
            <w:r w:rsidR="00C31F15" w:rsidRPr="00124E2E">
              <w:rPr>
                <w:rFonts w:ascii="Arial" w:hAnsi="Arial" w:cs="Arial"/>
                <w:b/>
                <w:u w:val="single"/>
                <w:rtl/>
              </w:rPr>
              <w:t>–</w:t>
            </w:r>
            <w:r w:rsidR="00C31F15" w:rsidRPr="00124E2E">
              <w:rPr>
                <w:rFonts w:ascii="Arial" w:hAnsi="Arial" w:cs="Arial" w:hint="cs"/>
                <w:b/>
                <w:u w:val="single"/>
                <w:rtl/>
              </w:rPr>
              <w:t xml:space="preserve"> </w:t>
            </w:r>
            <w:r>
              <w:rPr>
                <w:rFonts w:ascii="Arial" w:hAnsi="Arial" w:cs="Arial" w:hint="cs"/>
                <w:b/>
                <w:u w:val="single"/>
                <w:rtl/>
                <w:lang w:bidi="ar-SA"/>
              </w:rPr>
              <w:t>مبنى ونشاط</w:t>
            </w:r>
          </w:p>
          <w:p w14:paraId="47028276" w14:textId="5CC90CD3" w:rsidR="00C31F15" w:rsidRPr="00124E2E" w:rsidRDefault="00417843" w:rsidP="00417843">
            <w:pPr>
              <w:rPr>
                <w:rFonts w:ascii="Arial" w:hAnsi="Arial" w:cs="Arial"/>
                <w:b/>
                <w:rtl/>
              </w:rPr>
            </w:pPr>
            <w:r>
              <w:rPr>
                <w:rFonts w:ascii="Arial" w:hAnsi="Arial" w:cs="Arial" w:hint="cs"/>
                <w:b/>
                <w:rtl/>
                <w:lang w:bidi="ar-SA"/>
              </w:rPr>
              <w:t xml:space="preserve">وراثة مندلية: الوراثة في عائلة الإنسان، أليل متنحي. </w:t>
            </w:r>
          </w:p>
          <w:p w14:paraId="31DF353A" w14:textId="5289EE38" w:rsidR="00C31F15" w:rsidRDefault="00417843" w:rsidP="00417843">
            <w:pPr>
              <w:rPr>
                <w:rFonts w:ascii="Arial" w:hAnsi="Arial" w:cs="Arial"/>
                <w:b/>
                <w:rtl/>
                <w:lang w:bidi="ar-SA"/>
              </w:rPr>
            </w:pPr>
            <w:r>
              <w:rPr>
                <w:rFonts w:ascii="Arial" w:hAnsi="Arial" w:cs="Arial" w:hint="cs"/>
                <w:b/>
                <w:rtl/>
                <w:lang w:bidi="ar-SA"/>
              </w:rPr>
              <w:t>الوراثة، الطب والمجتمع: هندسة وراثية: مثال للتطبيق: إنتاج بروتينات.</w:t>
            </w:r>
          </w:p>
          <w:p w14:paraId="2D392211" w14:textId="03DCC15E" w:rsidR="00C31F15" w:rsidRDefault="00C31F15" w:rsidP="00147C00">
            <w:pPr>
              <w:rPr>
                <w:rFonts w:ascii="Arial" w:hAnsi="Arial" w:cs="Arial"/>
                <w:b/>
                <w:u w:val="single"/>
                <w:rtl/>
              </w:rPr>
            </w:pPr>
          </w:p>
          <w:p w14:paraId="46F2E8CC" w14:textId="110CCC85" w:rsidR="00C31F15" w:rsidRPr="00124E2E" w:rsidRDefault="00417843" w:rsidP="00076519">
            <w:pPr>
              <w:rPr>
                <w:rFonts w:ascii="Arial" w:hAnsi="Arial" w:cs="Arial"/>
                <w:bCs/>
                <w:rtl/>
                <w:lang w:bidi="ar-SA"/>
              </w:rPr>
            </w:pPr>
            <w:r>
              <w:rPr>
                <w:rFonts w:ascii="Arial" w:hAnsi="Arial" w:cs="Arial" w:hint="cs"/>
                <w:bCs/>
                <w:rtl/>
                <w:lang w:bidi="ar-SA"/>
              </w:rPr>
              <w:t>موضوع التعمق</w:t>
            </w:r>
          </w:p>
          <w:p w14:paraId="68E5E924" w14:textId="76232AA0" w:rsidR="00C31F15" w:rsidRDefault="00417843" w:rsidP="00417843">
            <w:pPr>
              <w:rPr>
                <w:rFonts w:ascii="Arial" w:hAnsi="Arial" w:cs="Arial"/>
                <w:b/>
                <w:u w:val="single"/>
                <w:rtl/>
              </w:rPr>
            </w:pPr>
            <w:r>
              <w:rPr>
                <w:rFonts w:ascii="Arial" w:hAnsi="Arial" w:cs="Arial" w:hint="cs"/>
                <w:b/>
                <w:u w:val="single"/>
                <w:rtl/>
                <w:lang w:bidi="ar-SA"/>
              </w:rPr>
              <w:t xml:space="preserve">مراقبة التعبير عن الجينات والهندسة الوراثية </w:t>
            </w:r>
          </w:p>
          <w:p w14:paraId="6E3DDA74" w14:textId="6BF8768C" w:rsidR="00C31F15" w:rsidRPr="00124E2E" w:rsidRDefault="00417843" w:rsidP="00AB31FF">
            <w:pPr>
              <w:rPr>
                <w:rFonts w:ascii="Arial" w:hAnsi="Arial" w:cs="Arial"/>
                <w:b/>
                <w:rtl/>
              </w:rPr>
            </w:pPr>
            <w:r>
              <w:rPr>
                <w:rFonts w:ascii="Arial" w:hAnsi="Arial" w:cs="Arial" w:hint="cs"/>
                <w:b/>
                <w:rtl/>
                <w:lang w:bidi="ar-SA"/>
              </w:rPr>
              <w:t>الشيفرة</w:t>
            </w:r>
            <w:r w:rsidR="00AB31FF">
              <w:rPr>
                <w:rFonts w:ascii="Arial" w:hAnsi="Arial" w:cs="Arial" w:hint="cs"/>
                <w:b/>
                <w:rtl/>
                <w:lang w:bidi="ar-SA"/>
              </w:rPr>
              <w:t xml:space="preserve"> الوراثية وآليات النسخ والترجمة</w:t>
            </w:r>
            <w:r>
              <w:rPr>
                <w:rFonts w:ascii="Arial" w:hAnsi="Arial" w:cs="Arial" w:hint="cs"/>
                <w:b/>
                <w:rtl/>
                <w:lang w:bidi="ar-SA"/>
              </w:rPr>
              <w:t>، مما يُتيح ذلك نقل الجينات بين الأنواع المختلفة بطرق الهندسة الوراثية. كائنات حي</w:t>
            </w:r>
            <w:r w:rsidR="00AB31FF">
              <w:rPr>
                <w:rFonts w:ascii="Arial" w:hAnsi="Arial" w:cs="Arial" w:hint="cs"/>
                <w:b/>
                <w:rtl/>
                <w:lang w:bidi="ar-SA"/>
              </w:rPr>
              <w:t>ّ</w:t>
            </w:r>
            <w:r>
              <w:rPr>
                <w:rFonts w:ascii="Arial" w:hAnsi="Arial" w:cs="Arial" w:hint="cs"/>
                <w:b/>
                <w:rtl/>
                <w:lang w:bidi="ar-SA"/>
              </w:rPr>
              <w:t>ة مطفّرة.</w:t>
            </w:r>
          </w:p>
          <w:p w14:paraId="1D906E66" w14:textId="48E810CD" w:rsidR="00C31F15" w:rsidRPr="00124E2E" w:rsidRDefault="00C31F15" w:rsidP="00147C00">
            <w:pPr>
              <w:rPr>
                <w:rFonts w:ascii="Arial" w:hAnsi="Arial" w:cs="Arial"/>
                <w:b/>
                <w:rtl/>
              </w:rPr>
            </w:pPr>
          </w:p>
          <w:p w14:paraId="22FAD490" w14:textId="164F5484" w:rsidR="00417843" w:rsidRDefault="00417843" w:rsidP="00147C00">
            <w:pPr>
              <w:rPr>
                <w:rFonts w:ascii="Arial" w:hAnsi="Arial" w:cs="Arial"/>
                <w:b/>
                <w:rtl/>
                <w:lang w:bidi="ar-SA"/>
              </w:rPr>
            </w:pPr>
            <w:r>
              <w:rPr>
                <w:rFonts w:ascii="Arial" w:hAnsi="Arial" w:cs="Arial" w:hint="cs"/>
                <w:b/>
                <w:rtl/>
                <w:lang w:bidi="ar-SA"/>
              </w:rPr>
              <w:t>يتم</w:t>
            </w:r>
            <w:r w:rsidR="00AB31FF">
              <w:rPr>
                <w:rFonts w:ascii="Arial" w:hAnsi="Arial" w:cs="Arial" w:hint="cs"/>
                <w:b/>
                <w:rtl/>
                <w:lang w:bidi="ar-SA"/>
              </w:rPr>
              <w:t>ّ</w:t>
            </w:r>
            <w:r>
              <w:rPr>
                <w:rFonts w:ascii="Arial" w:hAnsi="Arial" w:cs="Arial" w:hint="cs"/>
                <w:b/>
                <w:rtl/>
                <w:lang w:bidi="ar-SA"/>
              </w:rPr>
              <w:t xml:space="preserve"> تطبيق الوراثة والهندسة الوراثية في</w:t>
            </w:r>
            <w:r w:rsidR="00AB31FF">
              <w:rPr>
                <w:rFonts w:ascii="Arial" w:hAnsi="Arial" w:cs="Arial" w:hint="cs"/>
                <w:b/>
                <w:rtl/>
                <w:lang w:bidi="ar-SA"/>
              </w:rPr>
              <w:t xml:space="preserve"> الزراعة، الصناعة البيوتكنولوجيا</w:t>
            </w:r>
            <w:r>
              <w:rPr>
                <w:rFonts w:ascii="Arial" w:hAnsi="Arial" w:cs="Arial" w:hint="cs"/>
                <w:b/>
                <w:rtl/>
                <w:lang w:bidi="ar-SA"/>
              </w:rPr>
              <w:t xml:space="preserve"> والطب. </w:t>
            </w:r>
          </w:p>
          <w:p w14:paraId="09D968D6" w14:textId="2D8F3B0A" w:rsidR="00417843" w:rsidRPr="003C63D2" w:rsidRDefault="00417843" w:rsidP="00417843">
            <w:pPr>
              <w:rPr>
                <w:rFonts w:ascii="Arial" w:hAnsi="Arial" w:cs="Arial"/>
              </w:rPr>
            </w:pPr>
            <w:r>
              <w:rPr>
                <w:rFonts w:ascii="Arial" w:hAnsi="Arial" w:cs="Arial" w:hint="cs"/>
                <w:b/>
                <w:rtl/>
                <w:lang w:bidi="ar-SA"/>
              </w:rPr>
              <w:t>إنتاج</w:t>
            </w:r>
            <w:r>
              <w:rPr>
                <w:rFonts w:ascii="Arial" w:hAnsi="Arial" w:cs="Arial" w:hint="cs"/>
                <w:b/>
                <w:rtl/>
              </w:rPr>
              <w:t xml:space="preserve"> </w:t>
            </w:r>
            <w:r>
              <w:rPr>
                <w:rFonts w:ascii="Arial" w:hAnsi="Arial" w:cs="Arial" w:hint="cs"/>
                <w:b/>
                <w:rtl/>
                <w:lang w:bidi="ar-SA"/>
              </w:rPr>
              <w:t>بروتينات</w:t>
            </w:r>
            <w:r>
              <w:rPr>
                <w:rFonts w:ascii="Arial" w:hAnsi="Arial" w:cs="Arial" w:hint="cs"/>
                <w:b/>
                <w:rtl/>
              </w:rPr>
              <w:t xml:space="preserve"> </w:t>
            </w:r>
            <w:r>
              <w:rPr>
                <w:rFonts w:ascii="Arial" w:hAnsi="Arial" w:cs="Arial" w:hint="cs"/>
                <w:b/>
                <w:rtl/>
                <w:lang w:bidi="ar-SA"/>
              </w:rPr>
              <w:t>بشرية</w:t>
            </w:r>
            <w:r>
              <w:rPr>
                <w:rFonts w:ascii="Arial" w:hAnsi="Arial" w:cs="Arial" w:hint="cs"/>
                <w:b/>
                <w:rtl/>
              </w:rPr>
              <w:t xml:space="preserve"> </w:t>
            </w:r>
            <w:r>
              <w:rPr>
                <w:rFonts w:ascii="Arial" w:hAnsi="Arial" w:cs="Arial" w:hint="cs"/>
                <w:b/>
                <w:rtl/>
                <w:lang w:bidi="ar-SA"/>
              </w:rPr>
              <w:t>في</w:t>
            </w:r>
            <w:r>
              <w:rPr>
                <w:rFonts w:ascii="Arial" w:hAnsi="Arial" w:cs="Arial" w:hint="cs"/>
                <w:b/>
                <w:rtl/>
              </w:rPr>
              <w:t xml:space="preserve"> </w:t>
            </w:r>
            <w:r>
              <w:rPr>
                <w:rFonts w:ascii="Arial" w:hAnsi="Arial" w:cs="Arial" w:hint="cs"/>
                <w:b/>
                <w:rtl/>
                <w:lang w:bidi="ar-SA"/>
              </w:rPr>
              <w:t>النباتات</w:t>
            </w:r>
            <w:r>
              <w:rPr>
                <w:rFonts w:ascii="Arial" w:hAnsi="Arial" w:cs="Arial" w:hint="cs"/>
                <w:b/>
                <w:rtl/>
              </w:rPr>
              <w:t xml:space="preserve">.  </w:t>
            </w:r>
          </w:p>
          <w:p w14:paraId="0CA4D0D5" w14:textId="1D8ECC44" w:rsidR="00C31F15" w:rsidRPr="003C63D2" w:rsidRDefault="00C31F15" w:rsidP="00E309CA">
            <w:pPr>
              <w:rPr>
                <w:rFonts w:ascii="Arial" w:hAnsi="Arial" w:cs="Arial"/>
                <w:rtl/>
              </w:rPr>
            </w:pPr>
          </w:p>
        </w:tc>
      </w:tr>
      <w:tr w:rsidR="00C31F15" w14:paraId="3D3DD961" w14:textId="77777777" w:rsidTr="00C31F15">
        <w:trPr>
          <w:trHeight w:val="706"/>
        </w:trPr>
        <w:tc>
          <w:tcPr>
            <w:tcW w:w="1382" w:type="dxa"/>
          </w:tcPr>
          <w:p w14:paraId="06E79BB6" w14:textId="481C00CF" w:rsidR="00C31F15" w:rsidRDefault="00C31F15" w:rsidP="00147C00">
            <w:pPr>
              <w:rPr>
                <w:b/>
                <w:bCs/>
                <w:sz w:val="24"/>
                <w:szCs w:val="24"/>
                <w:rtl/>
              </w:rPr>
            </w:pPr>
            <w:r>
              <w:rPr>
                <w:b/>
                <w:bCs/>
                <w:sz w:val="24"/>
                <w:szCs w:val="24"/>
              </w:rPr>
              <w:t>"</w:t>
            </w:r>
            <w:r>
              <w:rPr>
                <w:b/>
                <w:bCs/>
                <w:sz w:val="24"/>
                <w:szCs w:val="24"/>
                <w:rtl/>
                <w:lang w:bidi="ar-SA"/>
              </w:rPr>
              <w:t>قصة الاكتشاف" الاكتشاف والعمل العلمي للباحثين</w:t>
            </w:r>
          </w:p>
        </w:tc>
        <w:tc>
          <w:tcPr>
            <w:tcW w:w="7368" w:type="dxa"/>
          </w:tcPr>
          <w:p w14:paraId="1058B493" w14:textId="4AE016B5" w:rsidR="00C31F15" w:rsidRDefault="00417843" w:rsidP="00AB31FF">
            <w:pPr>
              <w:pStyle w:val="Heading3"/>
              <w:shd w:val="clear" w:color="auto" w:fill="FFFFFF"/>
              <w:bidi/>
              <w:spacing w:before="0" w:beforeAutospacing="0" w:after="0" w:afterAutospacing="0"/>
              <w:outlineLvl w:val="2"/>
              <w:rPr>
                <w:rFonts w:asciiTheme="minorHAnsi" w:eastAsiaTheme="minorHAnsi" w:hAnsiTheme="minorHAnsi" w:cstheme="minorBidi"/>
                <w:b w:val="0"/>
                <w:bCs w:val="0"/>
                <w:sz w:val="22"/>
                <w:szCs w:val="22"/>
                <w:rtl/>
              </w:rPr>
            </w:pPr>
            <w:r>
              <w:rPr>
                <w:rFonts w:asciiTheme="minorHAnsi" w:eastAsiaTheme="minorHAnsi" w:hAnsiTheme="minorHAnsi" w:cstheme="minorBidi" w:hint="cs"/>
                <w:b w:val="0"/>
                <w:bCs w:val="0"/>
                <w:sz w:val="22"/>
                <w:szCs w:val="22"/>
                <w:rtl/>
                <w:lang w:bidi="ar-SA"/>
              </w:rPr>
              <w:t xml:space="preserve">دكتور يوسف شالتيال مختص </w:t>
            </w:r>
            <w:r w:rsidR="00AB31FF">
              <w:rPr>
                <w:rFonts w:asciiTheme="minorHAnsi" w:eastAsiaTheme="minorHAnsi" w:hAnsiTheme="minorHAnsi" w:cstheme="minorBidi" w:hint="cs"/>
                <w:b w:val="0"/>
                <w:bCs w:val="0"/>
                <w:sz w:val="22"/>
                <w:szCs w:val="22"/>
                <w:rtl/>
                <w:lang w:bidi="ar-SA"/>
              </w:rPr>
              <w:t xml:space="preserve">في </w:t>
            </w:r>
            <w:r>
              <w:rPr>
                <w:rFonts w:asciiTheme="minorHAnsi" w:eastAsiaTheme="minorHAnsi" w:hAnsiTheme="minorHAnsi" w:cstheme="minorBidi" w:hint="cs"/>
                <w:b w:val="0"/>
                <w:bCs w:val="0"/>
                <w:sz w:val="22"/>
                <w:szCs w:val="22"/>
                <w:rtl/>
                <w:lang w:bidi="ar-SA"/>
              </w:rPr>
              <w:t>بيوكيمياء النبات و</w:t>
            </w:r>
            <w:r w:rsidR="00AB31FF">
              <w:rPr>
                <w:rFonts w:asciiTheme="minorHAnsi" w:eastAsiaTheme="minorHAnsi" w:hAnsiTheme="minorHAnsi" w:cstheme="minorBidi" w:hint="cs"/>
                <w:b w:val="0"/>
                <w:bCs w:val="0"/>
                <w:sz w:val="22"/>
                <w:szCs w:val="22"/>
                <w:rtl/>
                <w:lang w:bidi="ar-SA"/>
              </w:rPr>
              <w:t xml:space="preserve">في </w:t>
            </w:r>
            <w:r>
              <w:rPr>
                <w:rFonts w:asciiTheme="minorHAnsi" w:eastAsiaTheme="minorHAnsi" w:hAnsiTheme="minorHAnsi" w:cstheme="minorBidi" w:hint="cs"/>
                <w:b w:val="0"/>
                <w:bCs w:val="0"/>
                <w:sz w:val="22"/>
                <w:szCs w:val="22"/>
                <w:rtl/>
                <w:lang w:bidi="ar-SA"/>
              </w:rPr>
              <w:t xml:space="preserve">تكنولوجيا مزارع النسيج النباتية، وقد أنشأ سنة  </w:t>
            </w:r>
            <w:r w:rsidR="00C31F15" w:rsidRPr="005940D1">
              <w:rPr>
                <w:rFonts w:asciiTheme="minorHAnsi" w:eastAsiaTheme="minorHAnsi" w:hAnsiTheme="minorHAnsi" w:cstheme="minorBidi" w:hint="cs"/>
                <w:b w:val="0"/>
                <w:bCs w:val="0"/>
                <w:sz w:val="22"/>
                <w:szCs w:val="22"/>
                <w:rtl/>
              </w:rPr>
              <w:t xml:space="preserve">1993 </w:t>
            </w:r>
            <w:r w:rsidR="002F5D6D" w:rsidRPr="002F5D6D">
              <w:rPr>
                <w:rFonts w:hint="cs"/>
                <w:b w:val="0"/>
                <w:bCs w:val="0"/>
                <w:sz w:val="22"/>
                <w:szCs w:val="22"/>
                <w:rtl/>
                <w:lang w:bidi="ar-SA"/>
              </w:rPr>
              <w:t>شركة "بروتليكس</w:t>
            </w:r>
            <w:r w:rsidR="002F5D6D">
              <w:rPr>
                <w:rFonts w:asciiTheme="minorHAnsi" w:eastAsiaTheme="minorHAnsi" w:hAnsiTheme="minorHAnsi" w:cstheme="minorBidi" w:hint="cs"/>
                <w:b w:val="0"/>
                <w:bCs w:val="0"/>
                <w:sz w:val="20"/>
                <w:szCs w:val="20"/>
                <w:rtl/>
              </w:rPr>
              <w:t>"</w:t>
            </w:r>
            <w:r w:rsidR="002F5D6D" w:rsidRPr="002F5D6D">
              <w:rPr>
                <w:rFonts w:asciiTheme="minorHAnsi" w:eastAsiaTheme="minorHAnsi" w:hAnsiTheme="minorHAnsi" w:cstheme="minorBidi" w:hint="cs"/>
                <w:b w:val="0"/>
                <w:bCs w:val="0"/>
                <w:sz w:val="20"/>
                <w:szCs w:val="20"/>
                <w:rtl/>
              </w:rPr>
              <w:t xml:space="preserve"> </w:t>
            </w:r>
            <w:r w:rsidR="00C31F15" w:rsidRPr="005940D1">
              <w:rPr>
                <w:rFonts w:asciiTheme="minorHAnsi" w:eastAsiaTheme="minorHAnsi" w:hAnsiTheme="minorHAnsi" w:cstheme="minorBidi" w:hint="cs"/>
                <w:b w:val="0"/>
                <w:bCs w:val="0"/>
                <w:sz w:val="22"/>
                <w:szCs w:val="22"/>
                <w:rtl/>
              </w:rPr>
              <w:t>(</w:t>
            </w:r>
            <w:r w:rsidR="00C31F15" w:rsidRPr="005940D1">
              <w:rPr>
                <w:rFonts w:asciiTheme="minorHAnsi" w:eastAsiaTheme="minorHAnsi" w:hAnsiTheme="minorHAnsi" w:cstheme="minorBidi"/>
                <w:b w:val="0"/>
                <w:bCs w:val="0"/>
                <w:sz w:val="22"/>
                <w:szCs w:val="22"/>
              </w:rPr>
              <w:t>Protalix BioTherapeutics, Inc.</w:t>
            </w:r>
            <w:r w:rsidR="00C31F15" w:rsidRPr="005940D1">
              <w:rPr>
                <w:rFonts w:asciiTheme="minorHAnsi" w:eastAsiaTheme="minorHAnsi" w:hAnsiTheme="minorHAnsi" w:cstheme="minorBidi" w:hint="cs"/>
                <w:b w:val="0"/>
                <w:bCs w:val="0"/>
                <w:sz w:val="22"/>
                <w:szCs w:val="22"/>
                <w:rtl/>
              </w:rPr>
              <w:t xml:space="preserve">). </w:t>
            </w:r>
            <w:r w:rsidR="00C31F15" w:rsidRPr="005940D1">
              <w:rPr>
                <w:rFonts w:asciiTheme="minorHAnsi" w:eastAsiaTheme="minorHAnsi" w:hAnsiTheme="minorHAnsi" w:cstheme="minorBidi"/>
                <w:b w:val="0"/>
                <w:bCs w:val="0"/>
                <w:sz w:val="22"/>
                <w:szCs w:val="22"/>
                <w:rtl/>
              </w:rPr>
              <w:br/>
            </w:r>
            <w:r w:rsidR="00041547">
              <w:rPr>
                <w:rFonts w:asciiTheme="minorHAnsi" w:eastAsiaTheme="minorHAnsi" w:hAnsiTheme="minorHAnsi" w:cstheme="minorBidi" w:hint="cs"/>
                <w:b w:val="0"/>
                <w:bCs w:val="0"/>
                <w:sz w:val="22"/>
                <w:szCs w:val="22"/>
                <w:rtl/>
                <w:lang w:bidi="ar-SA"/>
              </w:rPr>
              <w:t>ت</w:t>
            </w:r>
            <w:r w:rsidR="00AB31FF">
              <w:rPr>
                <w:rFonts w:asciiTheme="minorHAnsi" w:eastAsiaTheme="minorHAnsi" w:hAnsiTheme="minorHAnsi" w:cstheme="minorBidi" w:hint="cs"/>
                <w:b w:val="0"/>
                <w:bCs w:val="0"/>
                <w:sz w:val="22"/>
                <w:szCs w:val="22"/>
                <w:rtl/>
                <w:lang w:bidi="ar-SA"/>
              </w:rPr>
              <w:t>ُ</w:t>
            </w:r>
            <w:r w:rsidR="00041547">
              <w:rPr>
                <w:rFonts w:asciiTheme="minorHAnsi" w:eastAsiaTheme="minorHAnsi" w:hAnsiTheme="minorHAnsi" w:cstheme="minorBidi" w:hint="cs"/>
                <w:b w:val="0"/>
                <w:bCs w:val="0"/>
                <w:sz w:val="22"/>
                <w:szCs w:val="22"/>
                <w:rtl/>
                <w:lang w:bidi="ar-SA"/>
              </w:rPr>
              <w:t>رك</w:t>
            </w:r>
            <w:r w:rsidR="00AB31FF">
              <w:rPr>
                <w:rFonts w:asciiTheme="minorHAnsi" w:eastAsiaTheme="minorHAnsi" w:hAnsiTheme="minorHAnsi" w:cstheme="minorBidi" w:hint="cs"/>
                <w:b w:val="0"/>
                <w:bCs w:val="0"/>
                <w:sz w:val="22"/>
                <w:szCs w:val="22"/>
                <w:rtl/>
                <w:lang w:bidi="ar-SA"/>
              </w:rPr>
              <w:t>ّ</w:t>
            </w:r>
            <w:r w:rsidR="00041547">
              <w:rPr>
                <w:rFonts w:asciiTheme="minorHAnsi" w:eastAsiaTheme="minorHAnsi" w:hAnsiTheme="minorHAnsi" w:cstheme="minorBidi" w:hint="cs"/>
                <w:b w:val="0"/>
                <w:bCs w:val="0"/>
                <w:sz w:val="22"/>
                <w:szCs w:val="22"/>
                <w:rtl/>
                <w:lang w:bidi="ar-SA"/>
              </w:rPr>
              <w:t>ز هذه الشركة على تطوير وإنتاج بروتينات مُهندَسَة لأغراض طبي</w:t>
            </w:r>
            <w:r w:rsidR="00AB31FF">
              <w:rPr>
                <w:rFonts w:asciiTheme="minorHAnsi" w:eastAsiaTheme="minorHAnsi" w:hAnsiTheme="minorHAnsi" w:cstheme="minorBidi" w:hint="cs"/>
                <w:b w:val="0"/>
                <w:bCs w:val="0"/>
                <w:sz w:val="22"/>
                <w:szCs w:val="22"/>
                <w:rtl/>
                <w:lang w:bidi="ar-SA"/>
              </w:rPr>
              <w:t>ّ</w:t>
            </w:r>
            <w:r w:rsidR="00041547">
              <w:rPr>
                <w:rFonts w:asciiTheme="minorHAnsi" w:eastAsiaTheme="minorHAnsi" w:hAnsiTheme="minorHAnsi" w:cstheme="minorBidi" w:hint="cs"/>
                <w:b w:val="0"/>
                <w:bCs w:val="0"/>
                <w:sz w:val="22"/>
                <w:szCs w:val="22"/>
                <w:rtl/>
                <w:lang w:bidi="ar-SA"/>
              </w:rPr>
              <w:t>ة وتجارية. يتمّ إنتاج هذه البروتينات في نظام خاص</w:t>
            </w:r>
            <w:r w:rsidR="00AB31FF">
              <w:rPr>
                <w:rFonts w:asciiTheme="minorHAnsi" w:eastAsiaTheme="minorHAnsi" w:hAnsiTheme="minorHAnsi" w:cstheme="minorBidi" w:hint="cs"/>
                <w:b w:val="0"/>
                <w:bCs w:val="0"/>
                <w:sz w:val="22"/>
                <w:szCs w:val="22"/>
                <w:rtl/>
                <w:lang w:bidi="ar-SA"/>
              </w:rPr>
              <w:t>ّ</w:t>
            </w:r>
            <w:r w:rsidR="00041547">
              <w:rPr>
                <w:rFonts w:asciiTheme="minorHAnsi" w:eastAsiaTheme="minorHAnsi" w:hAnsiTheme="minorHAnsi" w:cstheme="minorBidi" w:hint="cs"/>
                <w:b w:val="0"/>
                <w:bCs w:val="0"/>
                <w:sz w:val="22"/>
                <w:szCs w:val="22"/>
                <w:rtl/>
                <w:lang w:bidi="ar-SA"/>
              </w:rPr>
              <w:t xml:space="preserve"> للتعبير عن البروتينات في مزرعة خلايا نباتية. </w:t>
            </w:r>
            <w:r w:rsidR="00041547" w:rsidRPr="002F5D6D">
              <w:rPr>
                <w:rFonts w:hint="cs"/>
                <w:b w:val="0"/>
                <w:bCs w:val="0"/>
                <w:sz w:val="22"/>
                <w:szCs w:val="22"/>
                <w:rtl/>
                <w:lang w:bidi="ar-SA"/>
              </w:rPr>
              <w:t>"بروتليكس</w:t>
            </w:r>
            <w:r w:rsidR="00041547">
              <w:rPr>
                <w:rFonts w:asciiTheme="minorHAnsi" w:eastAsiaTheme="minorHAnsi" w:hAnsiTheme="minorHAnsi" w:cstheme="minorBidi" w:hint="cs"/>
                <w:b w:val="0"/>
                <w:bCs w:val="0"/>
                <w:sz w:val="20"/>
                <w:szCs w:val="20"/>
                <w:rtl/>
              </w:rPr>
              <w:t>"</w:t>
            </w:r>
            <w:r w:rsidR="00041547" w:rsidRPr="002F5D6D">
              <w:rPr>
                <w:rFonts w:asciiTheme="minorHAnsi" w:eastAsiaTheme="minorHAnsi" w:hAnsiTheme="minorHAnsi" w:cstheme="minorBidi" w:hint="cs"/>
                <w:b w:val="0"/>
                <w:bCs w:val="0"/>
                <w:sz w:val="20"/>
                <w:szCs w:val="20"/>
                <w:rtl/>
              </w:rPr>
              <w:t xml:space="preserve"> </w:t>
            </w:r>
            <w:r w:rsidR="00041547">
              <w:rPr>
                <w:rFonts w:asciiTheme="minorHAnsi" w:eastAsiaTheme="minorHAnsi" w:hAnsiTheme="minorHAnsi" w:cstheme="minorBidi" w:hint="cs"/>
                <w:b w:val="0"/>
                <w:bCs w:val="0"/>
                <w:sz w:val="20"/>
                <w:szCs w:val="20"/>
                <w:rtl/>
                <w:lang w:bidi="ar-SA"/>
              </w:rPr>
              <w:t xml:space="preserve">هي الشركة الأولى التي تحصل على مصادقة، من إدارة الغذاء والأدوية الأميركية </w:t>
            </w:r>
            <w:r w:rsidR="00C31F15" w:rsidRPr="00445305">
              <w:rPr>
                <w:rFonts w:asciiTheme="minorHAnsi" w:eastAsiaTheme="minorHAnsi" w:hAnsiTheme="minorHAnsi" w:cstheme="minorBidi"/>
                <w:b w:val="0"/>
                <w:bCs w:val="0"/>
                <w:sz w:val="22"/>
                <w:szCs w:val="22"/>
              </w:rPr>
              <w:t>(</w:t>
            </w:r>
            <w:r w:rsidR="00C31F15" w:rsidRPr="00445305">
              <w:rPr>
                <w:rFonts w:asciiTheme="minorHAnsi" w:eastAsiaTheme="minorHAnsi" w:hAnsiTheme="minorHAnsi" w:cstheme="minorBidi" w:hint="cs"/>
                <w:b w:val="0"/>
                <w:bCs w:val="0"/>
                <w:sz w:val="22"/>
                <w:szCs w:val="22"/>
              </w:rPr>
              <w:t>FDA</w:t>
            </w:r>
            <w:r w:rsidR="00C31F15" w:rsidRPr="00445305">
              <w:rPr>
                <w:rFonts w:asciiTheme="minorHAnsi" w:eastAsiaTheme="minorHAnsi" w:hAnsiTheme="minorHAnsi" w:cstheme="minorBidi"/>
                <w:b w:val="0"/>
                <w:bCs w:val="0"/>
                <w:sz w:val="22"/>
                <w:szCs w:val="22"/>
              </w:rPr>
              <w:t>)</w:t>
            </w:r>
            <w:r w:rsidR="00C31F15" w:rsidRPr="00445305">
              <w:rPr>
                <w:rFonts w:asciiTheme="minorHAnsi" w:eastAsiaTheme="minorHAnsi" w:hAnsiTheme="minorHAnsi" w:cstheme="minorBidi" w:hint="cs"/>
                <w:b w:val="0"/>
                <w:bCs w:val="0"/>
                <w:sz w:val="22"/>
                <w:szCs w:val="22"/>
                <w:rtl/>
              </w:rPr>
              <w:t xml:space="preserve"> </w:t>
            </w:r>
            <w:r w:rsidR="00041547">
              <w:rPr>
                <w:rFonts w:asciiTheme="minorHAnsi" w:eastAsiaTheme="minorHAnsi" w:hAnsiTheme="minorHAnsi" w:cstheme="minorBidi" w:hint="cs"/>
                <w:b w:val="0"/>
                <w:bCs w:val="0"/>
                <w:sz w:val="22"/>
                <w:szCs w:val="22"/>
                <w:rtl/>
                <w:lang w:bidi="ar-SA"/>
              </w:rPr>
              <w:t>، للدواء الذي يعتمد على بروتين يُستخرج من مزرعة خلايا نباتية. سُم</w:t>
            </w:r>
            <w:r w:rsidR="00AB31FF">
              <w:rPr>
                <w:rFonts w:asciiTheme="minorHAnsi" w:eastAsiaTheme="minorHAnsi" w:hAnsiTheme="minorHAnsi" w:cstheme="minorBidi" w:hint="cs"/>
                <w:b w:val="0"/>
                <w:bCs w:val="0"/>
                <w:sz w:val="22"/>
                <w:szCs w:val="22"/>
                <w:rtl/>
                <w:lang w:bidi="ar-SA"/>
              </w:rPr>
              <w:t>ّ</w:t>
            </w:r>
            <w:r w:rsidR="00041547">
              <w:rPr>
                <w:rFonts w:asciiTheme="minorHAnsi" w:eastAsiaTheme="minorHAnsi" w:hAnsiTheme="minorHAnsi" w:cstheme="minorBidi" w:hint="cs"/>
                <w:b w:val="0"/>
                <w:bCs w:val="0"/>
                <w:sz w:val="22"/>
                <w:szCs w:val="22"/>
                <w:rtl/>
                <w:lang w:bidi="ar-SA"/>
              </w:rPr>
              <w:t>ي هذا الدواء "الليسو" وهو معدّ لمرضى يعانون من مرض غوشيه.</w:t>
            </w:r>
          </w:p>
          <w:p w14:paraId="34DADAC1" w14:textId="77777777" w:rsidR="00C31F15" w:rsidRPr="00445305" w:rsidRDefault="00C31F15" w:rsidP="00445305">
            <w:pPr>
              <w:pStyle w:val="Heading3"/>
              <w:shd w:val="clear" w:color="auto" w:fill="FFFFFF"/>
              <w:bidi/>
              <w:spacing w:before="0" w:beforeAutospacing="0" w:after="0" w:afterAutospacing="0"/>
              <w:outlineLvl w:val="2"/>
              <w:rPr>
                <w:rFonts w:asciiTheme="minorHAnsi" w:eastAsiaTheme="minorHAnsi" w:hAnsiTheme="minorHAnsi" w:cstheme="minorBidi"/>
                <w:b w:val="0"/>
                <w:bCs w:val="0"/>
                <w:sz w:val="22"/>
                <w:szCs w:val="22"/>
                <w:rtl/>
              </w:rPr>
            </w:pPr>
          </w:p>
          <w:p w14:paraId="779FC2B1" w14:textId="610FDB51" w:rsidR="00C31F15" w:rsidRPr="005940D1" w:rsidRDefault="00041547" w:rsidP="00AB31FF">
            <w:pPr>
              <w:shd w:val="clear" w:color="auto" w:fill="FFFFFF"/>
              <w:spacing w:after="150" w:line="276" w:lineRule="auto"/>
              <w:rPr>
                <w:rtl/>
              </w:rPr>
            </w:pPr>
            <w:r>
              <w:rPr>
                <w:rFonts w:hint="cs"/>
                <w:rtl/>
                <w:lang w:bidi="ar-SA"/>
              </w:rPr>
              <w:t xml:space="preserve">مرض غوشية هو مرض كروموسومالي جسدي متنحي، تحمله نسبة عالية من السكان اليهود الأشكناز </w:t>
            </w:r>
            <w:r w:rsidR="00C31F15" w:rsidRPr="005940D1">
              <w:rPr>
                <w:rFonts w:hint="cs"/>
                <w:rtl/>
              </w:rPr>
              <w:t>(</w:t>
            </w:r>
            <w:r w:rsidR="00DA2654">
              <w:rPr>
                <w:rFonts w:hint="cs"/>
                <w:rtl/>
                <w:lang w:bidi="ar-SA"/>
              </w:rPr>
              <w:t>حوالي</w:t>
            </w:r>
            <w:r w:rsidR="00C31F15" w:rsidRPr="005940D1">
              <w:rPr>
                <w:rFonts w:hint="cs"/>
                <w:rtl/>
              </w:rPr>
              <w:t xml:space="preserve"> 1 </w:t>
            </w:r>
            <w:r w:rsidR="00DA2654">
              <w:rPr>
                <w:rFonts w:hint="cs"/>
                <w:rtl/>
                <w:lang w:bidi="ar-SA"/>
              </w:rPr>
              <w:t>إلى</w:t>
            </w:r>
            <w:r w:rsidR="00C31F15" w:rsidRPr="005940D1">
              <w:rPr>
                <w:rFonts w:hint="cs"/>
                <w:rtl/>
              </w:rPr>
              <w:t xml:space="preserve"> 14).</w:t>
            </w:r>
            <w:r w:rsidR="00C31F15">
              <w:rPr>
                <w:rFonts w:hint="cs"/>
                <w:rtl/>
              </w:rPr>
              <w:t xml:space="preserve"> </w:t>
            </w:r>
            <w:r w:rsidR="00DA2654">
              <w:rPr>
                <w:rFonts w:hint="cs"/>
                <w:rtl/>
                <w:lang w:bidi="ar-SA"/>
              </w:rPr>
              <w:t xml:space="preserve">بفضل فحوصات وراثية قبل الحمل، نسبة ولادة المرضى بهذا المرض منخفضة </w:t>
            </w:r>
            <w:r w:rsidR="00DA2654">
              <w:rPr>
                <w:rFonts w:hint="cs"/>
                <w:rtl/>
                <w:lang w:bidi="ar-SA"/>
              </w:rPr>
              <w:lastRenderedPageBreak/>
              <w:t xml:space="preserve">نسبيًّا بين </w:t>
            </w:r>
            <w:r w:rsidR="00C31F15" w:rsidRPr="005940D1">
              <w:rPr>
                <w:rFonts w:hint="cs"/>
                <w:rtl/>
              </w:rPr>
              <w:t xml:space="preserve">1 </w:t>
            </w:r>
            <w:r w:rsidR="00DA2654">
              <w:rPr>
                <w:rFonts w:hint="cs"/>
                <w:rtl/>
                <w:lang w:bidi="ar-SA"/>
              </w:rPr>
              <w:t xml:space="preserve">إلى </w:t>
            </w:r>
            <w:r w:rsidR="00C31F15" w:rsidRPr="005940D1">
              <w:rPr>
                <w:rFonts w:hint="cs"/>
                <w:rtl/>
              </w:rPr>
              <w:t xml:space="preserve">500 </w:t>
            </w:r>
            <w:r w:rsidR="00DA2654">
              <w:rPr>
                <w:rFonts w:hint="cs"/>
                <w:rtl/>
                <w:lang w:bidi="ar-SA"/>
              </w:rPr>
              <w:t>أو</w:t>
            </w:r>
            <w:r w:rsidR="00C31F15" w:rsidRPr="005940D1">
              <w:rPr>
                <w:rFonts w:hint="cs"/>
                <w:rtl/>
              </w:rPr>
              <w:t xml:space="preserve"> 1 </w:t>
            </w:r>
            <w:r w:rsidR="00DA2654">
              <w:rPr>
                <w:rFonts w:hint="cs"/>
                <w:rtl/>
                <w:lang w:bidi="ar-SA"/>
              </w:rPr>
              <w:t xml:space="preserve">إلى </w:t>
            </w:r>
            <w:r w:rsidR="00C31F15" w:rsidRPr="005940D1">
              <w:rPr>
                <w:rFonts w:hint="cs"/>
                <w:rtl/>
              </w:rPr>
              <w:t xml:space="preserve">1000 </w:t>
            </w:r>
            <w:r w:rsidR="00DA2654">
              <w:rPr>
                <w:rFonts w:hint="cs"/>
                <w:rtl/>
                <w:lang w:bidi="ar-SA"/>
              </w:rPr>
              <w:t>ولادة مري</w:t>
            </w:r>
            <w:r w:rsidR="00AB31FF">
              <w:rPr>
                <w:rFonts w:hint="cs"/>
                <w:rtl/>
                <w:lang w:bidi="ar-SA"/>
              </w:rPr>
              <w:t>ض</w:t>
            </w:r>
            <w:r w:rsidR="00DA2654">
              <w:rPr>
                <w:rFonts w:hint="cs"/>
                <w:rtl/>
                <w:lang w:bidi="ar-SA"/>
              </w:rPr>
              <w:t xml:space="preserve"> في غوشيه من نوع </w:t>
            </w:r>
            <w:r w:rsidR="00C31F15" w:rsidRPr="005940D1">
              <w:rPr>
                <w:rFonts w:hint="cs"/>
                <w:rtl/>
              </w:rPr>
              <w:t xml:space="preserve"> 1</w:t>
            </w:r>
            <w:r w:rsidR="00DA2654">
              <w:rPr>
                <w:rFonts w:hint="cs"/>
                <w:rtl/>
                <w:lang w:bidi="ar-SA"/>
              </w:rPr>
              <w:t xml:space="preserve">، وهو النوع الشائع. </w:t>
            </w:r>
            <w:r w:rsidR="00C31F15" w:rsidRPr="005940D1">
              <w:rPr>
                <w:rFonts w:hint="cs"/>
                <w:rtl/>
              </w:rPr>
              <w:t xml:space="preserve"> </w:t>
            </w:r>
            <w:r w:rsidR="00DA2654">
              <w:rPr>
                <w:rFonts w:hint="cs"/>
                <w:rtl/>
                <w:lang w:bidi="ar-SA"/>
              </w:rPr>
              <w:t>في هذا المرض هناك خلل في إنزيم مسؤول عن تحليل الدهنيات، حيث يكون هذا الإنزيم ناقص أو يعمل بشكل غير سليم. في هذه الحالة، الدهنيات التي يجب أن تتحلل بواسطة الإنزيم تتراكم في أعضاء داخلي</w:t>
            </w:r>
            <w:r w:rsidR="00AB31FF">
              <w:rPr>
                <w:rFonts w:hint="cs"/>
                <w:rtl/>
                <w:lang w:bidi="ar-SA"/>
              </w:rPr>
              <w:t>ّ</w:t>
            </w:r>
            <w:r w:rsidR="00DA2654">
              <w:rPr>
                <w:rFonts w:hint="cs"/>
                <w:rtl/>
                <w:lang w:bidi="ar-SA"/>
              </w:rPr>
              <w:t>ة، مثل: الكبد، الطحال، النخاع العظمي والجهاز العصبي، تصبح سامة وتؤد</w:t>
            </w:r>
            <w:r w:rsidR="00AB31FF">
              <w:rPr>
                <w:rFonts w:hint="cs"/>
                <w:rtl/>
                <w:lang w:bidi="ar-SA"/>
              </w:rPr>
              <w:t>ّ</w:t>
            </w:r>
            <w:r w:rsidR="00DA2654">
              <w:rPr>
                <w:rFonts w:hint="cs"/>
                <w:rtl/>
                <w:lang w:bidi="ar-SA"/>
              </w:rPr>
              <w:t xml:space="preserve">ي إلى أمراض مرتبطة بهذه الأعضاء.  </w:t>
            </w:r>
          </w:p>
          <w:p w14:paraId="5AF2CE0C" w14:textId="0B56690A" w:rsidR="00C31F15" w:rsidRPr="005940D1" w:rsidRDefault="00DA2654" w:rsidP="00840510">
            <w:pPr>
              <w:shd w:val="clear" w:color="auto" w:fill="FFFFFF"/>
              <w:spacing w:after="150" w:line="276" w:lineRule="auto"/>
              <w:rPr>
                <w:rtl/>
              </w:rPr>
            </w:pPr>
            <w:r>
              <w:rPr>
                <w:rFonts w:hint="cs"/>
                <w:rtl/>
                <w:lang w:bidi="ar-SA"/>
              </w:rPr>
              <w:t xml:space="preserve">هناك 3 أنواع من مرض غوشيه، </w:t>
            </w:r>
            <w:r w:rsidR="00AB31FF">
              <w:rPr>
                <w:rFonts w:hint="cs"/>
                <w:rtl/>
                <w:lang w:bidi="ar-SA"/>
              </w:rPr>
              <w:t xml:space="preserve">وهي </w:t>
            </w:r>
            <w:r>
              <w:rPr>
                <w:rFonts w:hint="cs"/>
                <w:rtl/>
                <w:lang w:bidi="ar-SA"/>
              </w:rPr>
              <w:t xml:space="preserve">تختلف عن بعضها في مستوى تفاقم المرض وزمن ظهوره. في النوع 1 </w:t>
            </w:r>
            <w:r w:rsidR="00AB31FF">
              <w:rPr>
                <w:rFonts w:hint="cs"/>
                <w:rtl/>
                <w:lang w:bidi="ar-SA"/>
              </w:rPr>
              <w:t>ال</w:t>
            </w:r>
            <w:r w:rsidR="00840510">
              <w:rPr>
                <w:rFonts w:hint="cs"/>
                <w:rtl/>
                <w:lang w:bidi="ar-SA"/>
              </w:rPr>
              <w:t>شائع</w:t>
            </w:r>
            <w:r>
              <w:rPr>
                <w:rFonts w:hint="cs"/>
                <w:rtl/>
                <w:lang w:bidi="ar-SA"/>
              </w:rPr>
              <w:t>،</w:t>
            </w:r>
            <w:r w:rsidR="00840510">
              <w:rPr>
                <w:rFonts w:hint="cs"/>
                <w:rtl/>
                <w:lang w:bidi="ar-SA"/>
              </w:rPr>
              <w:t xml:space="preserve"> لا توجد إصابة في الجهاز العصبي، وهو يظهر مبكرًا في الطفولة أو في البلوغ. النوعان 2 وَ 3 خطيران، لأن</w:t>
            </w:r>
            <w:r w:rsidR="00AB31FF">
              <w:rPr>
                <w:rFonts w:hint="cs"/>
                <w:rtl/>
                <w:lang w:bidi="ar-SA"/>
              </w:rPr>
              <w:t>ّ</w:t>
            </w:r>
            <w:r w:rsidR="00840510">
              <w:rPr>
                <w:rFonts w:hint="cs"/>
                <w:rtl/>
                <w:lang w:bidi="ar-SA"/>
              </w:rPr>
              <w:t>هما يؤذيان جهاز الأعصاب، لكنهما غير شائعين.</w:t>
            </w:r>
          </w:p>
          <w:p w14:paraId="1111D4CB" w14:textId="6B5370E8" w:rsidR="00C31F15" w:rsidRPr="005940D1" w:rsidRDefault="00840510" w:rsidP="009943D0">
            <w:pPr>
              <w:shd w:val="clear" w:color="auto" w:fill="FFFFFF"/>
              <w:spacing w:after="150" w:line="276" w:lineRule="auto"/>
              <w:rPr>
                <w:rtl/>
              </w:rPr>
            </w:pPr>
            <w:r>
              <w:rPr>
                <w:rFonts w:hint="cs"/>
                <w:rtl/>
                <w:lang w:bidi="ar-SA"/>
              </w:rPr>
              <w:t>نسم</w:t>
            </w:r>
            <w:r w:rsidR="00AB31FF">
              <w:rPr>
                <w:rFonts w:hint="cs"/>
                <w:rtl/>
                <w:lang w:bidi="ar-SA"/>
              </w:rPr>
              <w:t>ّ</w:t>
            </w:r>
            <w:r>
              <w:rPr>
                <w:rFonts w:hint="cs"/>
                <w:rtl/>
                <w:lang w:bidi="ar-SA"/>
              </w:rPr>
              <w:t xml:space="preserve">ي الجين المصاب بالمرض </w:t>
            </w:r>
            <w:r w:rsidR="00C31F15" w:rsidRPr="005940D1">
              <w:rPr>
                <w:rFonts w:hint="cs"/>
                <w:rtl/>
              </w:rPr>
              <w:t xml:space="preserve"> </w:t>
            </w:r>
            <w:r w:rsidR="00C31F15" w:rsidRPr="005940D1">
              <w:rPr>
                <w:rFonts w:hint="cs"/>
              </w:rPr>
              <w:t>GBA</w:t>
            </w:r>
            <w:r w:rsidR="00C31F15" w:rsidRPr="005940D1">
              <w:rPr>
                <w:rFonts w:hint="cs"/>
                <w:rtl/>
              </w:rPr>
              <w:t xml:space="preserve"> (</w:t>
            </w:r>
            <w:r w:rsidR="00C31F15" w:rsidRPr="005940D1">
              <w:t>glucosylceramidase beta</w:t>
            </w:r>
            <w:r w:rsidR="00C31F15" w:rsidRPr="005940D1">
              <w:rPr>
                <w:rFonts w:hint="cs"/>
                <w:rtl/>
              </w:rPr>
              <w:t>)</w:t>
            </w:r>
            <w:r w:rsidR="00C31F15" w:rsidRPr="005940D1">
              <w:rPr>
                <w:rFonts w:hint="cs"/>
              </w:rPr>
              <w:t xml:space="preserve"> </w:t>
            </w:r>
            <w:r>
              <w:rPr>
                <w:rFonts w:hint="cs"/>
                <w:rtl/>
                <w:lang w:bidi="ar-SA"/>
              </w:rPr>
              <w:t>، وهو يؤث</w:t>
            </w:r>
            <w:r w:rsidR="00AB31FF">
              <w:rPr>
                <w:rFonts w:hint="cs"/>
                <w:rtl/>
                <w:lang w:bidi="ar-SA"/>
              </w:rPr>
              <w:t>ّ</w:t>
            </w:r>
            <w:r>
              <w:rPr>
                <w:rFonts w:hint="cs"/>
                <w:rtl/>
                <w:lang w:bidi="ar-SA"/>
              </w:rPr>
              <w:t>ر على كم</w:t>
            </w:r>
            <w:r w:rsidR="00AB31FF">
              <w:rPr>
                <w:rFonts w:hint="cs"/>
                <w:rtl/>
                <w:lang w:bidi="ar-SA"/>
              </w:rPr>
              <w:t>ّ</w:t>
            </w:r>
            <w:r>
              <w:rPr>
                <w:rFonts w:hint="cs"/>
                <w:rtl/>
                <w:lang w:bidi="ar-SA"/>
              </w:rPr>
              <w:t>ي</w:t>
            </w:r>
            <w:r w:rsidR="00AB31FF">
              <w:rPr>
                <w:rFonts w:hint="cs"/>
                <w:rtl/>
                <w:lang w:bidi="ar-SA"/>
              </w:rPr>
              <w:t>ّ</w:t>
            </w:r>
            <w:r>
              <w:rPr>
                <w:rFonts w:hint="cs"/>
                <w:rtl/>
                <w:lang w:bidi="ar-SA"/>
              </w:rPr>
              <w:t xml:space="preserve">ة أو سلامة الإنزيم جلوكوسيريبروزيد </w:t>
            </w:r>
            <w:r w:rsidR="00C31F15" w:rsidRPr="005940D1">
              <w:rPr>
                <w:rFonts w:hint="cs"/>
                <w:rtl/>
              </w:rPr>
              <w:t>(</w:t>
            </w:r>
            <w:r w:rsidR="00C31F15" w:rsidRPr="005940D1">
              <w:rPr>
                <w:rFonts w:hint="cs"/>
              </w:rPr>
              <w:t>GCD</w:t>
            </w:r>
            <w:r w:rsidR="00C31F15" w:rsidRPr="005940D1">
              <w:t xml:space="preserve"> - glucocerebrosidase</w:t>
            </w:r>
            <w:r w:rsidR="00C31F15" w:rsidRPr="005940D1">
              <w:rPr>
                <w:rFonts w:hint="cs"/>
                <w:rtl/>
              </w:rPr>
              <w:t xml:space="preserve">). </w:t>
            </w:r>
            <w:r>
              <w:rPr>
                <w:rFonts w:hint="cs"/>
                <w:rtl/>
                <w:lang w:bidi="ar-SA"/>
              </w:rPr>
              <w:t xml:space="preserve">العلاج الشائع في المرض </w:t>
            </w:r>
            <w:r w:rsidR="009943D0">
              <w:rPr>
                <w:rFonts w:hint="cs"/>
                <w:rtl/>
                <w:lang w:bidi="ar-SA"/>
              </w:rPr>
              <w:t xml:space="preserve">هو تقنية تبديل الإنزيم </w:t>
            </w:r>
            <w:r w:rsidR="00C31F15" w:rsidRPr="005940D1">
              <w:rPr>
                <w:rFonts w:hint="cs"/>
                <w:rtl/>
              </w:rPr>
              <w:t>(</w:t>
            </w:r>
            <w:r w:rsidR="00C31F15" w:rsidRPr="005940D1">
              <w:rPr>
                <w:rFonts w:hint="cs"/>
              </w:rPr>
              <w:t>ERT</w:t>
            </w:r>
            <w:r w:rsidR="00C31F15" w:rsidRPr="005940D1">
              <w:rPr>
                <w:rFonts w:hint="cs"/>
                <w:rtl/>
              </w:rPr>
              <w:t>)</w:t>
            </w:r>
            <w:r w:rsidR="009943D0">
              <w:rPr>
                <w:rFonts w:hint="cs"/>
                <w:rtl/>
                <w:lang w:bidi="ar-SA"/>
              </w:rPr>
              <w:t>، حيث يتم</w:t>
            </w:r>
            <w:r w:rsidR="00AB31FF">
              <w:rPr>
                <w:rFonts w:hint="cs"/>
                <w:rtl/>
                <w:lang w:bidi="ar-SA"/>
              </w:rPr>
              <w:t>ّ</w:t>
            </w:r>
            <w:r w:rsidR="009943D0">
              <w:rPr>
                <w:rFonts w:hint="cs"/>
                <w:rtl/>
                <w:lang w:bidi="ar-SA"/>
              </w:rPr>
              <w:t xml:space="preserve"> حقن المرضى بإنزيم مُهندَس سليم. </w:t>
            </w:r>
            <w:r w:rsidR="00C31F15" w:rsidRPr="005940D1">
              <w:rPr>
                <w:rFonts w:hint="cs"/>
                <w:rtl/>
              </w:rPr>
              <w:t xml:space="preserve"> </w:t>
            </w:r>
          </w:p>
          <w:p w14:paraId="69DC5EEC" w14:textId="73E223B8" w:rsidR="00C31F15" w:rsidRPr="005940D1" w:rsidRDefault="00037AB5" w:rsidP="00037AB5">
            <w:pPr>
              <w:shd w:val="clear" w:color="auto" w:fill="FFFFFF"/>
              <w:spacing w:after="150" w:line="276" w:lineRule="auto"/>
              <w:rPr>
                <w:rtl/>
              </w:rPr>
            </w:pPr>
            <w:r>
              <w:rPr>
                <w:rFonts w:hint="cs"/>
                <w:rtl/>
                <w:lang w:bidi="ar-SA"/>
              </w:rPr>
              <w:t>تمّ تطوير دواء الليسو على أساس إنجاز بحث جديد للدكتور شالتيال، وقد أد</w:t>
            </w:r>
            <w:r w:rsidR="00AB31FF">
              <w:rPr>
                <w:rFonts w:hint="cs"/>
                <w:rtl/>
                <w:lang w:bidi="ar-SA"/>
              </w:rPr>
              <w:t>ّ</w:t>
            </w:r>
            <w:r>
              <w:rPr>
                <w:rFonts w:hint="cs"/>
                <w:rtl/>
                <w:lang w:bidi="ar-SA"/>
              </w:rPr>
              <w:t xml:space="preserve">ى هذا البحث إلى تطوير نظام للتعبير عن بروتينات في مزرعة خلايا نباتية. الدواء الذي تنتجه الشركة الإسرائيلية "بروتليكس" هو إنزيم </w:t>
            </w:r>
            <w:r w:rsidR="00C31F15" w:rsidRPr="005940D1">
              <w:rPr>
                <w:rFonts w:hint="cs"/>
              </w:rPr>
              <w:t>GCD</w:t>
            </w:r>
            <w:r w:rsidR="00C31F15" w:rsidRPr="005940D1">
              <w:rPr>
                <w:rFonts w:hint="cs"/>
                <w:rtl/>
              </w:rPr>
              <w:t xml:space="preserve"> </w:t>
            </w:r>
            <w:r w:rsidR="00AB31FF">
              <w:rPr>
                <w:rFonts w:hint="cs"/>
                <w:rtl/>
                <w:lang w:bidi="ar-SA"/>
              </w:rPr>
              <w:t xml:space="preserve">مُهندَس </w:t>
            </w:r>
            <w:r>
              <w:rPr>
                <w:rFonts w:hint="cs"/>
                <w:rtl/>
                <w:lang w:bidi="ar-SA"/>
              </w:rPr>
              <w:t>يُستخرج من نظام مزرعة خلايا نباتية. لإنتاج الإنزيم المُهندَس يتم</w:t>
            </w:r>
            <w:r w:rsidR="00AB31FF">
              <w:rPr>
                <w:rFonts w:hint="cs"/>
                <w:rtl/>
                <w:lang w:bidi="ar-SA"/>
              </w:rPr>
              <w:t>ّ</w:t>
            </w:r>
            <w:r>
              <w:rPr>
                <w:rFonts w:hint="cs"/>
                <w:rtl/>
                <w:lang w:bidi="ar-SA"/>
              </w:rPr>
              <w:t xml:space="preserve"> إدخال تسلسل </w:t>
            </w:r>
            <w:r>
              <w:rPr>
                <w:lang w:bidi="ar-SA"/>
              </w:rPr>
              <w:t>DNA</w:t>
            </w:r>
            <w:r w:rsidR="00AB31FF">
              <w:rPr>
                <w:rFonts w:hint="cs"/>
                <w:rtl/>
                <w:lang w:bidi="ar-SA"/>
              </w:rPr>
              <w:t xml:space="preserve"> ا</w:t>
            </w:r>
            <w:r>
              <w:rPr>
                <w:rFonts w:hint="cs"/>
                <w:rtl/>
                <w:lang w:bidi="ar-SA"/>
              </w:rPr>
              <w:t xml:space="preserve">لجين </w:t>
            </w:r>
            <w:r w:rsidR="00C31F15" w:rsidRPr="005940D1">
              <w:rPr>
                <w:rFonts w:hint="cs"/>
                <w:rtl/>
              </w:rPr>
              <w:t xml:space="preserve"> </w:t>
            </w:r>
            <w:r w:rsidR="00C31F15" w:rsidRPr="005940D1">
              <w:rPr>
                <w:rFonts w:hint="cs"/>
              </w:rPr>
              <w:t>GBA</w:t>
            </w:r>
            <w:r w:rsidR="00C31F15" w:rsidRPr="005940D1">
              <w:rPr>
                <w:rFonts w:hint="cs"/>
                <w:rtl/>
              </w:rPr>
              <w:t xml:space="preserve"> </w:t>
            </w:r>
            <w:r>
              <w:rPr>
                <w:rFonts w:hint="cs"/>
                <w:rtl/>
                <w:lang w:bidi="ar-SA"/>
              </w:rPr>
              <w:t>السليم إلى داخل خلايا النبات (جزر)، وهناك يتم</w:t>
            </w:r>
            <w:r w:rsidR="00AB31FF">
              <w:rPr>
                <w:rFonts w:hint="cs"/>
                <w:rtl/>
                <w:lang w:bidi="ar-SA"/>
              </w:rPr>
              <w:t>ّ</w:t>
            </w:r>
            <w:r>
              <w:rPr>
                <w:rFonts w:hint="cs"/>
                <w:rtl/>
                <w:lang w:bidi="ar-SA"/>
              </w:rPr>
              <w:t xml:space="preserve"> التعبير عنه ويُترجم إلى إنزيم </w:t>
            </w:r>
            <w:r w:rsidR="00C31F15" w:rsidRPr="005940D1">
              <w:rPr>
                <w:rFonts w:hint="cs"/>
              </w:rPr>
              <w:t>GCD</w:t>
            </w:r>
            <w:r w:rsidR="00C31F15" w:rsidRPr="005940D1">
              <w:rPr>
                <w:rFonts w:hint="cs"/>
                <w:rtl/>
              </w:rPr>
              <w:t xml:space="preserve"> </w:t>
            </w:r>
            <w:r>
              <w:rPr>
                <w:rFonts w:hint="cs"/>
                <w:rtl/>
                <w:lang w:bidi="ar-SA"/>
              </w:rPr>
              <w:t>سليم، وذلك بفضل تجانس الشيفرة الوراثية. يمكن بواسطة الحفاظ والنمو المستمر لمزرعة النسيج أن نستخرج كم</w:t>
            </w:r>
            <w:r w:rsidR="00AB31FF">
              <w:rPr>
                <w:rFonts w:hint="cs"/>
                <w:rtl/>
                <w:lang w:bidi="ar-SA"/>
              </w:rPr>
              <w:t>ّ</w:t>
            </w:r>
            <w:r>
              <w:rPr>
                <w:rFonts w:hint="cs"/>
                <w:rtl/>
                <w:lang w:bidi="ar-SA"/>
              </w:rPr>
              <w:t>ي</w:t>
            </w:r>
            <w:r w:rsidR="00AB31FF">
              <w:rPr>
                <w:rFonts w:hint="cs"/>
                <w:rtl/>
                <w:lang w:bidi="ar-SA"/>
              </w:rPr>
              <w:t>ّ</w:t>
            </w:r>
            <w:r>
              <w:rPr>
                <w:rFonts w:hint="cs"/>
                <w:rtl/>
                <w:lang w:bidi="ar-SA"/>
              </w:rPr>
              <w:t xml:space="preserve">ات كبيرة من الإنزيم.  </w:t>
            </w:r>
          </w:p>
          <w:p w14:paraId="0B4CF06B" w14:textId="5309BA27" w:rsidR="00C31F15" w:rsidRPr="005940D1" w:rsidRDefault="000F2B68" w:rsidP="000F2B68">
            <w:pPr>
              <w:shd w:val="clear" w:color="auto" w:fill="FFFFFF"/>
              <w:spacing w:after="150" w:line="276" w:lineRule="auto"/>
              <w:rPr>
                <w:rtl/>
              </w:rPr>
            </w:pPr>
            <w:r>
              <w:rPr>
                <w:rFonts w:hint="cs"/>
                <w:rtl/>
                <w:lang w:bidi="ar-SA"/>
              </w:rPr>
              <w:t>هناك عد</w:t>
            </w:r>
            <w:r w:rsidR="00AB31FF">
              <w:rPr>
                <w:rFonts w:hint="cs"/>
                <w:rtl/>
                <w:lang w:bidi="ar-SA"/>
              </w:rPr>
              <w:t>ّ</w:t>
            </w:r>
            <w:r>
              <w:rPr>
                <w:rFonts w:hint="cs"/>
                <w:rtl/>
                <w:lang w:bidi="ar-SA"/>
              </w:rPr>
              <w:t>ة إيجابيات لنظام التعبير عن بروتينات في مزرعة خلايا نباتية مقارنة بأنظمة أخرى يتم</w:t>
            </w:r>
            <w:r w:rsidR="00AB31FF">
              <w:rPr>
                <w:rFonts w:hint="cs"/>
                <w:rtl/>
                <w:lang w:bidi="ar-SA"/>
              </w:rPr>
              <w:t>ّ</w:t>
            </w:r>
            <w:r>
              <w:rPr>
                <w:rFonts w:hint="cs"/>
                <w:rtl/>
                <w:lang w:bidi="ar-SA"/>
              </w:rPr>
              <w:t xml:space="preserve"> فيها التعبير عن بروتينات مُهندَسَة: من السهل معالجة مزارع الخلايا النباتية، لذا فهي أرخص من مزارع خلايا </w:t>
            </w:r>
            <w:r w:rsidR="00AB31FF">
              <w:rPr>
                <w:rFonts w:hint="cs"/>
                <w:rtl/>
                <w:lang w:bidi="ar-SA"/>
              </w:rPr>
              <w:t>ال</w:t>
            </w:r>
            <w:r>
              <w:rPr>
                <w:rFonts w:hint="cs"/>
                <w:rtl/>
                <w:lang w:bidi="ar-SA"/>
              </w:rPr>
              <w:t>ثدييات. بالإضافة، يمكن أن نعب</w:t>
            </w:r>
            <w:r w:rsidR="00AB31FF">
              <w:rPr>
                <w:rFonts w:hint="cs"/>
                <w:rtl/>
                <w:lang w:bidi="ar-SA"/>
              </w:rPr>
              <w:t>ّ</w:t>
            </w:r>
            <w:r>
              <w:rPr>
                <w:rFonts w:hint="cs"/>
                <w:rtl/>
                <w:lang w:bidi="ar-SA"/>
              </w:rPr>
              <w:t>ر في هذا النظام عن بروتينات من الصعب أن نعب</w:t>
            </w:r>
            <w:r w:rsidR="00AB31FF">
              <w:rPr>
                <w:rFonts w:hint="cs"/>
                <w:rtl/>
                <w:lang w:bidi="ar-SA"/>
              </w:rPr>
              <w:t>ّ</w:t>
            </w:r>
            <w:r>
              <w:rPr>
                <w:rFonts w:hint="cs"/>
                <w:rtl/>
                <w:lang w:bidi="ar-SA"/>
              </w:rPr>
              <w:t xml:space="preserve">ر عنها في أنظمة أخرى، كما يمكن أن نصل بسرعة إلى مرحلة الفحص الطبي مع بروتينات تمّ التعبير عنها في هذا النظام مقارنة بأنظمة تعبير أخرى. </w:t>
            </w:r>
            <w:r>
              <w:t xml:space="preserve"> </w:t>
            </w:r>
          </w:p>
          <w:p w14:paraId="44BE31D2" w14:textId="1FC480E8" w:rsidR="000F7A11" w:rsidRDefault="000F2B68" w:rsidP="000F7A11">
            <w:pPr>
              <w:shd w:val="clear" w:color="auto" w:fill="FFFFFF"/>
              <w:spacing w:after="150" w:line="276" w:lineRule="auto"/>
              <w:rPr>
                <w:rtl/>
                <w:lang w:bidi="ar-SA"/>
              </w:rPr>
            </w:pPr>
            <w:r>
              <w:rPr>
                <w:rFonts w:hint="cs"/>
                <w:rtl/>
                <w:lang w:bidi="ar-SA"/>
              </w:rPr>
              <w:t xml:space="preserve">بتاريخ </w:t>
            </w:r>
            <w:r w:rsidR="00C31F15" w:rsidRPr="005940D1">
              <w:rPr>
                <w:rFonts w:hint="cs"/>
                <w:rtl/>
              </w:rPr>
              <w:t xml:space="preserve"> </w:t>
            </w:r>
            <w:r w:rsidR="00C31F15" w:rsidRPr="005940D1">
              <w:t>1.5.2012</w:t>
            </w:r>
            <w:r w:rsidR="00C31F15" w:rsidRPr="005940D1">
              <w:rPr>
                <w:rFonts w:hint="cs"/>
                <w:rtl/>
              </w:rPr>
              <w:t xml:space="preserve"> </w:t>
            </w:r>
            <w:r>
              <w:rPr>
                <w:rFonts w:hint="cs"/>
                <w:rtl/>
                <w:lang w:bidi="ar-SA"/>
              </w:rPr>
              <w:t>صادقت إدارة الغذاء والأدوية الأميركية،</w:t>
            </w:r>
            <w:r w:rsidRPr="005940D1">
              <w:rPr>
                <w:rFonts w:hint="cs"/>
              </w:rPr>
              <w:t>FDA</w:t>
            </w:r>
            <w:r>
              <w:rPr>
                <w:rFonts w:hint="cs"/>
                <w:rtl/>
                <w:lang w:bidi="ar-SA"/>
              </w:rPr>
              <w:t>،</w:t>
            </w:r>
            <w:r>
              <w:t xml:space="preserve"> </w:t>
            </w:r>
            <w:r>
              <w:rPr>
                <w:rFonts w:hint="cs"/>
                <w:rtl/>
                <w:lang w:bidi="ar-SA"/>
              </w:rPr>
              <w:t xml:space="preserve"> على الليسو كدواء ي</w:t>
            </w:r>
            <w:r w:rsidR="00AB31FF">
              <w:rPr>
                <w:rFonts w:hint="cs"/>
                <w:rtl/>
                <w:lang w:bidi="ar-SA"/>
              </w:rPr>
              <w:t>ُ</w:t>
            </w:r>
            <w:r>
              <w:rPr>
                <w:rFonts w:hint="cs"/>
                <w:rtl/>
                <w:lang w:bidi="ar-SA"/>
              </w:rPr>
              <w:t xml:space="preserve">عطى بواسطة الحقن، لمعالجة طويلة في مرضى كبار السن في مرض غوشيه من نوع 1. </w:t>
            </w:r>
            <w:r w:rsidR="000F7A11">
              <w:rPr>
                <w:rFonts w:hint="cs"/>
                <w:rtl/>
                <w:lang w:bidi="ar-SA"/>
              </w:rPr>
              <w:t>كان هذا الدواء الأو</w:t>
            </w:r>
            <w:r w:rsidR="007474B2">
              <w:rPr>
                <w:rFonts w:hint="cs"/>
                <w:rtl/>
                <w:lang w:bidi="ar-SA"/>
              </w:rPr>
              <w:t>ّ</w:t>
            </w:r>
            <w:r w:rsidR="000F7A11">
              <w:rPr>
                <w:rFonts w:hint="cs"/>
                <w:rtl/>
                <w:lang w:bidi="ar-SA"/>
              </w:rPr>
              <w:t>ل للشركة، الذي تم</w:t>
            </w:r>
            <w:r w:rsidR="007474B2">
              <w:rPr>
                <w:rFonts w:hint="cs"/>
                <w:rtl/>
                <w:lang w:bidi="ar-SA"/>
              </w:rPr>
              <w:t>ّ</w:t>
            </w:r>
            <w:r w:rsidR="000F7A11">
              <w:rPr>
                <w:rFonts w:hint="cs"/>
                <w:rtl/>
                <w:lang w:bidi="ar-SA"/>
              </w:rPr>
              <w:t>ت المصادقة عليه، وقد تم</w:t>
            </w:r>
            <w:r w:rsidR="007474B2">
              <w:rPr>
                <w:rFonts w:hint="cs"/>
                <w:rtl/>
                <w:lang w:bidi="ar-SA"/>
              </w:rPr>
              <w:t>ّ</w:t>
            </w:r>
            <w:r w:rsidR="000F7A11">
              <w:rPr>
                <w:rFonts w:hint="cs"/>
                <w:rtl/>
                <w:lang w:bidi="ar-SA"/>
              </w:rPr>
              <w:t xml:space="preserve"> تطويره بواسطة نظام </w:t>
            </w:r>
            <w:r w:rsidR="00C31F15" w:rsidRPr="005940D1">
              <w:t>ProCellEx</w:t>
            </w:r>
            <w:r w:rsidR="00C31F15" w:rsidRPr="005940D1">
              <w:rPr>
                <w:rFonts w:hint="cs"/>
                <w:rtl/>
              </w:rPr>
              <w:t xml:space="preserve"> </w:t>
            </w:r>
            <w:r w:rsidR="000F7A11">
              <w:rPr>
                <w:rFonts w:hint="cs"/>
                <w:rtl/>
                <w:lang w:bidi="ar-SA"/>
              </w:rPr>
              <w:t xml:space="preserve">لشركة بروتليكس </w:t>
            </w:r>
            <w:r w:rsidR="000F7A11">
              <w:rPr>
                <w:rtl/>
                <w:lang w:bidi="ar-SA"/>
              </w:rPr>
              <w:t>–</w:t>
            </w:r>
            <w:r w:rsidR="000F7A11">
              <w:rPr>
                <w:rFonts w:hint="cs"/>
                <w:rtl/>
                <w:lang w:bidi="ar-SA"/>
              </w:rPr>
              <w:t xml:space="preserve"> نظام لاستخراج البروتينات تجاريًا بواسطة مزرعة خلايا نباتية.</w:t>
            </w:r>
          </w:p>
          <w:p w14:paraId="51BF9181" w14:textId="25BC4184" w:rsidR="00C31F15" w:rsidRPr="005940D1" w:rsidRDefault="000F7A11" w:rsidP="00AA0A28">
            <w:pPr>
              <w:shd w:val="clear" w:color="auto" w:fill="FFFFFF"/>
              <w:spacing w:after="150" w:line="276" w:lineRule="auto"/>
            </w:pPr>
            <w:r>
              <w:rPr>
                <w:rFonts w:hint="cs"/>
                <w:rtl/>
                <w:lang w:bidi="ar-SA"/>
              </w:rPr>
              <w:t>بي</w:t>
            </w:r>
            <w:r w:rsidR="007474B2">
              <w:rPr>
                <w:rFonts w:hint="cs"/>
                <w:rtl/>
                <w:lang w:bidi="ar-SA"/>
              </w:rPr>
              <w:t>ّ</w:t>
            </w:r>
            <w:r>
              <w:rPr>
                <w:rFonts w:hint="cs"/>
                <w:rtl/>
                <w:lang w:bidi="ar-SA"/>
              </w:rPr>
              <w:t>نت الأبحاث الطبية الأولى أن</w:t>
            </w:r>
            <w:r w:rsidR="007474B2">
              <w:rPr>
                <w:rFonts w:hint="cs"/>
                <w:rtl/>
                <w:lang w:bidi="ar-SA"/>
              </w:rPr>
              <w:t>ّ</w:t>
            </w:r>
            <w:r>
              <w:rPr>
                <w:rFonts w:hint="cs"/>
                <w:rtl/>
                <w:lang w:bidi="ar-SA"/>
              </w:rPr>
              <w:t xml:space="preserve"> هناك تأثير إيجابي لهذا الدواء على كبار السن المصابين بالمرض، كذلك الأمر مع الأطفال: في البحث الذي استمر</w:t>
            </w:r>
            <w:r w:rsidR="007474B2">
              <w:rPr>
                <w:rFonts w:hint="cs"/>
                <w:rtl/>
                <w:lang w:bidi="ar-SA"/>
              </w:rPr>
              <w:t>ّ</w:t>
            </w:r>
            <w:r>
              <w:rPr>
                <w:rFonts w:hint="cs"/>
                <w:rtl/>
                <w:lang w:bidi="ar-SA"/>
              </w:rPr>
              <w:t xml:space="preserve"> سنتين، تبيّن عند المرضى انخفاض بمعد</w:t>
            </w:r>
            <w:r w:rsidR="007474B2">
              <w:rPr>
                <w:rFonts w:hint="cs"/>
                <w:rtl/>
                <w:lang w:bidi="ar-SA"/>
              </w:rPr>
              <w:t>ّ</w:t>
            </w:r>
            <w:r>
              <w:rPr>
                <w:rFonts w:hint="cs"/>
                <w:rtl/>
                <w:lang w:bidi="ar-SA"/>
              </w:rPr>
              <w:t>ل كبر الطحال والكبد وارتفاع بمستوى الهيموجلوبين وصفائح الدم. هذا يعني أن</w:t>
            </w:r>
            <w:r w:rsidR="007474B2">
              <w:rPr>
                <w:rFonts w:hint="cs"/>
                <w:rtl/>
                <w:lang w:bidi="ar-SA"/>
              </w:rPr>
              <w:t>ّ</w:t>
            </w:r>
            <w:r>
              <w:rPr>
                <w:rFonts w:hint="cs"/>
                <w:rtl/>
                <w:lang w:bidi="ar-SA"/>
              </w:rPr>
              <w:t xml:space="preserve"> هذه المقاييس تكون عادة</w:t>
            </w:r>
            <w:r w:rsidR="007474B2">
              <w:rPr>
                <w:rFonts w:hint="cs"/>
                <w:rtl/>
                <w:lang w:bidi="ar-SA"/>
              </w:rPr>
              <w:t>ً</w:t>
            </w:r>
            <w:r>
              <w:rPr>
                <w:rFonts w:hint="cs"/>
                <w:rtl/>
                <w:lang w:bidi="ar-SA"/>
              </w:rPr>
              <w:t xml:space="preserve"> غير سليمة لدى المرضى المصابين بمرض غوشيه من نوع 1، لكن في هذا العلاج طرأ تحسين وكان مستواها قريب من المستوى السليم.</w:t>
            </w:r>
            <w:r w:rsidR="00C31F15" w:rsidRPr="005940D1">
              <w:rPr>
                <w:rtl/>
              </w:rPr>
              <w:br/>
            </w:r>
            <w:r>
              <w:rPr>
                <w:rFonts w:hint="cs"/>
                <w:rtl/>
                <w:lang w:bidi="ar-SA"/>
              </w:rPr>
              <w:t>الليسو هي الوصفة الطبية الأولى التي</w:t>
            </w:r>
            <w:r w:rsidR="00AA0A28">
              <w:rPr>
                <w:rFonts w:hint="cs"/>
                <w:rtl/>
                <w:lang w:bidi="ar-SA"/>
              </w:rPr>
              <w:t xml:space="preserve"> حصلت على ختم موافقة الشريعة اليهودية من الاتحاد الأرثوذكسي  </w:t>
            </w:r>
            <w:r>
              <w:rPr>
                <w:rFonts w:hint="cs"/>
                <w:rtl/>
                <w:lang w:bidi="ar-SA"/>
              </w:rPr>
              <w:t xml:space="preserve"> </w:t>
            </w:r>
            <w:r w:rsidR="00C31F15" w:rsidRPr="005940D1">
              <w:rPr>
                <w:rFonts w:hint="cs"/>
                <w:rtl/>
              </w:rPr>
              <w:t>(</w:t>
            </w:r>
            <w:r w:rsidR="00C31F15" w:rsidRPr="005940D1">
              <w:t>OU</w:t>
            </w:r>
            <w:r w:rsidR="00C31F15" w:rsidRPr="005940D1">
              <w:rPr>
                <w:rFonts w:hint="cs"/>
                <w:rtl/>
              </w:rPr>
              <w:t xml:space="preserve">) </w:t>
            </w:r>
            <w:r w:rsidR="00AA0A28">
              <w:rPr>
                <w:rFonts w:hint="cs"/>
                <w:rtl/>
                <w:lang w:bidi="ar-SA"/>
              </w:rPr>
              <w:t>كتعبير عن الدعم للجالية اليهودية التي نسبة حاملين هذا المرض فيها عال مقارنة بعامة السكان.</w:t>
            </w:r>
            <w:bookmarkStart w:id="0" w:name="_GoBack"/>
            <w:bookmarkEnd w:id="0"/>
            <w:r w:rsidR="00C31F15" w:rsidRPr="005940D1">
              <w:rPr>
                <w:rFonts w:hint="cs"/>
                <w:rtl/>
              </w:rPr>
              <w:t xml:space="preserve"> </w:t>
            </w:r>
          </w:p>
        </w:tc>
      </w:tr>
      <w:tr w:rsidR="00C31F15" w14:paraId="7B256FD4" w14:textId="77777777" w:rsidTr="00C31F15">
        <w:trPr>
          <w:trHeight w:val="664"/>
        </w:trPr>
        <w:tc>
          <w:tcPr>
            <w:tcW w:w="1382" w:type="dxa"/>
          </w:tcPr>
          <w:p w14:paraId="76D83606" w14:textId="7557E8ED" w:rsidR="00C31F15" w:rsidRPr="00F720A3" w:rsidRDefault="00C31F15" w:rsidP="00147C00">
            <w:pPr>
              <w:rPr>
                <w:b/>
                <w:bCs/>
                <w:sz w:val="24"/>
                <w:szCs w:val="24"/>
                <w:rtl/>
              </w:rPr>
            </w:pPr>
            <w:r>
              <w:rPr>
                <w:b/>
                <w:bCs/>
                <w:sz w:val="24"/>
                <w:szCs w:val="24"/>
                <w:rtl/>
                <w:lang w:bidi="ar-SA"/>
              </w:rPr>
              <w:lastRenderedPageBreak/>
              <w:t>فعّاليّات للتلاميذ، مقالات وأفلام قصيرة</w:t>
            </w:r>
          </w:p>
        </w:tc>
        <w:tc>
          <w:tcPr>
            <w:tcW w:w="7368" w:type="dxa"/>
          </w:tcPr>
          <w:p w14:paraId="2B5F1E98" w14:textId="40B1CE4F" w:rsidR="00C31F15" w:rsidRPr="00172270" w:rsidRDefault="00E47940" w:rsidP="00147C00">
            <w:pPr>
              <w:rPr>
                <w:rtl/>
              </w:rPr>
            </w:pPr>
            <w:hyperlink r:id="rId8" w:history="1">
              <w:r w:rsidR="00C31F15" w:rsidRPr="00172270">
                <w:rPr>
                  <w:rStyle w:val="Hyperlink"/>
                  <w:rFonts w:cs="Arial" w:hint="cs"/>
                  <w:rtl/>
                </w:rPr>
                <w:t>פעילות</w:t>
              </w:r>
              <w:r w:rsidR="00C31F15" w:rsidRPr="00172270">
                <w:rPr>
                  <w:rStyle w:val="Hyperlink"/>
                  <w:rFonts w:cs="Arial"/>
                  <w:rtl/>
                </w:rPr>
                <w:t xml:space="preserve"> </w:t>
              </w:r>
              <w:r w:rsidR="00C31F15" w:rsidRPr="00172270">
                <w:rPr>
                  <w:rStyle w:val="Hyperlink"/>
                  <w:rFonts w:cs="Arial" w:hint="cs"/>
                  <w:rtl/>
                </w:rPr>
                <w:t>תחרותית</w:t>
              </w:r>
              <w:r w:rsidR="00C31F15" w:rsidRPr="00172270">
                <w:rPr>
                  <w:rStyle w:val="Hyperlink"/>
                  <w:rFonts w:cs="Arial"/>
                  <w:rtl/>
                </w:rPr>
                <w:t xml:space="preserve"> </w:t>
              </w:r>
              <w:r w:rsidR="00C31F15" w:rsidRPr="00172270">
                <w:rPr>
                  <w:rStyle w:val="Hyperlink"/>
                  <w:rFonts w:cs="Arial" w:hint="cs"/>
                  <w:rtl/>
                </w:rPr>
                <w:t>בקבוצות</w:t>
              </w:r>
              <w:r w:rsidR="00C31F15" w:rsidRPr="00172270">
                <w:rPr>
                  <w:rStyle w:val="Hyperlink"/>
                  <w:rFonts w:cs="Arial"/>
                  <w:rtl/>
                </w:rPr>
                <w:t xml:space="preserve"> </w:t>
              </w:r>
              <w:r w:rsidR="00C31F15" w:rsidRPr="00172270">
                <w:rPr>
                  <w:rStyle w:val="Hyperlink"/>
                  <w:rFonts w:cs="Arial" w:hint="cs"/>
                  <w:rtl/>
                </w:rPr>
                <w:t>בנושא</w:t>
              </w:r>
              <w:r w:rsidR="00C31F15" w:rsidRPr="00172270">
                <w:rPr>
                  <w:rStyle w:val="Hyperlink"/>
                  <w:rFonts w:cs="Arial"/>
                  <w:rtl/>
                </w:rPr>
                <w:t xml:space="preserve"> </w:t>
              </w:r>
              <w:r w:rsidR="00C31F15" w:rsidRPr="00172270">
                <w:rPr>
                  <w:rStyle w:val="Hyperlink"/>
                  <w:rFonts w:cs="Arial" w:hint="cs"/>
                  <w:rtl/>
                </w:rPr>
                <w:t>של</w:t>
              </w:r>
              <w:r w:rsidR="00C31F15" w:rsidRPr="00172270">
                <w:rPr>
                  <w:rStyle w:val="Hyperlink"/>
                  <w:rFonts w:cs="Arial"/>
                  <w:rtl/>
                </w:rPr>
                <w:t xml:space="preserve"> </w:t>
              </w:r>
              <w:r w:rsidR="00C31F15" w:rsidRPr="00172270">
                <w:rPr>
                  <w:rStyle w:val="Hyperlink"/>
                  <w:rFonts w:cs="Arial" w:hint="cs"/>
                  <w:rtl/>
                </w:rPr>
                <w:t>הנדסה</w:t>
              </w:r>
              <w:r w:rsidR="00C31F15" w:rsidRPr="00172270">
                <w:rPr>
                  <w:rStyle w:val="Hyperlink"/>
                  <w:rFonts w:cs="Arial"/>
                  <w:rtl/>
                </w:rPr>
                <w:t xml:space="preserve"> </w:t>
              </w:r>
              <w:r w:rsidR="00C31F15" w:rsidRPr="00172270">
                <w:rPr>
                  <w:rStyle w:val="Hyperlink"/>
                  <w:rFonts w:cs="Arial" w:hint="cs"/>
                  <w:rtl/>
                </w:rPr>
                <w:t>גנטית</w:t>
              </w:r>
              <w:r w:rsidR="00C31F15" w:rsidRPr="00172270">
                <w:rPr>
                  <w:rStyle w:val="Hyperlink"/>
                  <w:rFonts w:cs="Arial"/>
                  <w:rtl/>
                </w:rPr>
                <w:t xml:space="preserve"> - </w:t>
              </w:r>
              <w:r w:rsidR="00C31F15" w:rsidRPr="00172270">
                <w:rPr>
                  <w:rStyle w:val="Hyperlink"/>
                  <w:rFonts w:cs="Arial" w:hint="cs"/>
                  <w:rtl/>
                </w:rPr>
                <w:t>ביטוי</w:t>
              </w:r>
              <w:r w:rsidR="00C31F15" w:rsidRPr="00172270">
                <w:rPr>
                  <w:rStyle w:val="Hyperlink"/>
                  <w:rFonts w:cs="Arial"/>
                  <w:rtl/>
                </w:rPr>
                <w:t xml:space="preserve"> </w:t>
              </w:r>
              <w:r w:rsidR="00C31F15" w:rsidRPr="00172270">
                <w:rPr>
                  <w:rStyle w:val="Hyperlink"/>
                  <w:rFonts w:cs="Arial" w:hint="cs"/>
                  <w:rtl/>
                </w:rPr>
                <w:t>של</w:t>
              </w:r>
              <w:r w:rsidR="00C31F15" w:rsidRPr="00172270">
                <w:rPr>
                  <w:rStyle w:val="Hyperlink"/>
                  <w:rFonts w:cs="Arial"/>
                  <w:rtl/>
                </w:rPr>
                <w:t xml:space="preserve"> </w:t>
              </w:r>
              <w:r w:rsidR="00C31F15" w:rsidRPr="00172270">
                <w:rPr>
                  <w:rStyle w:val="Hyperlink"/>
                  <w:rFonts w:cs="Arial" w:hint="cs"/>
                  <w:rtl/>
                </w:rPr>
                <w:t>חלבון</w:t>
              </w:r>
              <w:r w:rsidR="00C31F15" w:rsidRPr="00172270">
                <w:rPr>
                  <w:rStyle w:val="Hyperlink"/>
                  <w:rFonts w:cs="Arial"/>
                  <w:rtl/>
                </w:rPr>
                <w:t xml:space="preserve"> </w:t>
              </w:r>
              <w:r w:rsidR="00C31F15" w:rsidRPr="00172270">
                <w:rPr>
                  <w:rStyle w:val="Hyperlink"/>
                  <w:rFonts w:cs="Arial" w:hint="cs"/>
                  <w:rtl/>
                </w:rPr>
                <w:t>רקומביננטי</w:t>
              </w:r>
              <w:r w:rsidR="00C31F15" w:rsidRPr="00172270">
                <w:rPr>
                  <w:rStyle w:val="Hyperlink"/>
                  <w:rFonts w:cs="Arial"/>
                  <w:rtl/>
                </w:rPr>
                <w:t xml:space="preserve"> </w:t>
              </w:r>
              <w:r w:rsidR="00C31F15" w:rsidRPr="00172270">
                <w:rPr>
                  <w:rStyle w:val="Hyperlink"/>
                  <w:rFonts w:cs="Arial" w:hint="cs"/>
                  <w:rtl/>
                </w:rPr>
                <w:t>בצמחים</w:t>
              </w:r>
            </w:hyperlink>
            <w:r w:rsidR="00C31F15" w:rsidRPr="00172270">
              <w:rPr>
                <w:rFonts w:cs="Arial"/>
                <w:rtl/>
              </w:rPr>
              <w:t xml:space="preserve">: </w:t>
            </w:r>
            <w:r w:rsidR="00C31F15" w:rsidRPr="00172270">
              <w:rPr>
                <w:rFonts w:cs="Arial" w:hint="cs"/>
                <w:rtl/>
              </w:rPr>
              <w:t>פעילות</w:t>
            </w:r>
            <w:r w:rsidR="00C31F15" w:rsidRPr="00172270">
              <w:rPr>
                <w:rFonts w:cs="Arial"/>
                <w:rtl/>
              </w:rPr>
              <w:t xml:space="preserve"> </w:t>
            </w:r>
            <w:r w:rsidR="00C31F15" w:rsidRPr="00172270">
              <w:rPr>
                <w:rFonts w:cs="Arial" w:hint="cs"/>
                <w:rtl/>
              </w:rPr>
              <w:t>זו</w:t>
            </w:r>
            <w:r w:rsidR="00C31F15" w:rsidRPr="00172270">
              <w:rPr>
                <w:rFonts w:cs="Arial"/>
                <w:rtl/>
              </w:rPr>
              <w:t xml:space="preserve"> </w:t>
            </w:r>
            <w:r w:rsidR="00C31F15" w:rsidRPr="00172270">
              <w:rPr>
                <w:rFonts w:cs="Arial" w:hint="cs"/>
                <w:rtl/>
              </w:rPr>
              <w:t>היא</w:t>
            </w:r>
            <w:r w:rsidR="00C31F15" w:rsidRPr="00172270">
              <w:rPr>
                <w:rFonts w:cs="Arial"/>
                <w:rtl/>
              </w:rPr>
              <w:t xml:space="preserve"> </w:t>
            </w:r>
            <w:r w:rsidR="00C31F15" w:rsidRPr="00172270">
              <w:rPr>
                <w:rFonts w:cs="Arial" w:hint="cs"/>
                <w:rtl/>
              </w:rPr>
              <w:t>חידון</w:t>
            </w:r>
            <w:r w:rsidR="00C31F15" w:rsidRPr="00172270">
              <w:rPr>
                <w:rFonts w:cs="Arial"/>
                <w:rtl/>
              </w:rPr>
              <w:t xml:space="preserve"> </w:t>
            </w:r>
            <w:r w:rsidR="00C31F15" w:rsidRPr="00172270">
              <w:rPr>
                <w:rFonts w:cs="Arial" w:hint="cs"/>
                <w:rtl/>
              </w:rPr>
              <w:t>בשלבים</w:t>
            </w:r>
            <w:r w:rsidR="00C31F15" w:rsidRPr="00172270">
              <w:rPr>
                <w:rFonts w:cs="Arial"/>
                <w:rtl/>
              </w:rPr>
              <w:t xml:space="preserve"> </w:t>
            </w:r>
            <w:r w:rsidR="00C31F15" w:rsidRPr="00172270">
              <w:rPr>
                <w:rFonts w:cs="Arial" w:hint="cs"/>
                <w:rtl/>
              </w:rPr>
              <w:t>הבנוי</w:t>
            </w:r>
            <w:r w:rsidR="00C31F15" w:rsidRPr="00172270">
              <w:rPr>
                <w:rFonts w:cs="Arial"/>
                <w:rtl/>
              </w:rPr>
              <w:t xml:space="preserve"> </w:t>
            </w:r>
            <w:r w:rsidR="00C31F15" w:rsidRPr="00172270">
              <w:rPr>
                <w:rFonts w:cs="Arial" w:hint="cs"/>
                <w:rtl/>
              </w:rPr>
              <w:t>בהתאם</w:t>
            </w:r>
            <w:r w:rsidR="00C31F15" w:rsidRPr="00172270">
              <w:rPr>
                <w:rFonts w:cs="Arial"/>
                <w:rtl/>
              </w:rPr>
              <w:t xml:space="preserve"> </w:t>
            </w:r>
            <w:r w:rsidR="00C31F15" w:rsidRPr="00172270">
              <w:rPr>
                <w:rFonts w:cs="Arial" w:hint="cs"/>
                <w:rtl/>
              </w:rPr>
              <w:t>לשלבים</w:t>
            </w:r>
            <w:r w:rsidR="00C31F15" w:rsidRPr="00172270">
              <w:rPr>
                <w:rFonts w:cs="Arial"/>
                <w:rtl/>
              </w:rPr>
              <w:t xml:space="preserve"> </w:t>
            </w:r>
            <w:r w:rsidR="00C31F15" w:rsidRPr="00172270">
              <w:rPr>
                <w:rFonts w:cs="Arial" w:hint="cs"/>
                <w:rtl/>
              </w:rPr>
              <w:t>הנדרשים</w:t>
            </w:r>
            <w:r w:rsidR="00C31F15" w:rsidRPr="00172270">
              <w:rPr>
                <w:rFonts w:cs="Arial"/>
                <w:rtl/>
              </w:rPr>
              <w:t xml:space="preserve"> </w:t>
            </w:r>
            <w:r w:rsidR="00C31F15" w:rsidRPr="00172270">
              <w:rPr>
                <w:rFonts w:cs="Arial" w:hint="cs"/>
                <w:rtl/>
              </w:rPr>
              <w:t>כדי</w:t>
            </w:r>
            <w:r w:rsidR="00C31F15" w:rsidRPr="00172270">
              <w:rPr>
                <w:rFonts w:cs="Arial"/>
                <w:rtl/>
              </w:rPr>
              <w:t xml:space="preserve"> </w:t>
            </w:r>
            <w:r w:rsidR="00C31F15" w:rsidRPr="00172270">
              <w:rPr>
                <w:rFonts w:cs="Arial" w:hint="cs"/>
                <w:rtl/>
              </w:rPr>
              <w:t>לבטא</w:t>
            </w:r>
            <w:r w:rsidR="00C31F15" w:rsidRPr="00172270">
              <w:rPr>
                <w:rFonts w:cs="Arial"/>
                <w:rtl/>
              </w:rPr>
              <w:t xml:space="preserve"> </w:t>
            </w:r>
            <w:r w:rsidR="00C31F15" w:rsidRPr="00172270">
              <w:rPr>
                <w:rFonts w:cs="Arial" w:hint="cs"/>
                <w:rtl/>
              </w:rPr>
              <w:t>חלבון</w:t>
            </w:r>
            <w:r w:rsidR="00C31F15" w:rsidRPr="00172270">
              <w:rPr>
                <w:rFonts w:cs="Arial"/>
                <w:rtl/>
              </w:rPr>
              <w:t xml:space="preserve"> </w:t>
            </w:r>
            <w:r w:rsidR="00C31F15" w:rsidRPr="00172270">
              <w:rPr>
                <w:rFonts w:cs="Arial" w:hint="cs"/>
                <w:rtl/>
              </w:rPr>
              <w:t>רקומביננטי</w:t>
            </w:r>
            <w:r w:rsidR="00C31F15" w:rsidRPr="00172270">
              <w:rPr>
                <w:rFonts w:cs="Arial"/>
                <w:rtl/>
              </w:rPr>
              <w:t xml:space="preserve"> </w:t>
            </w:r>
            <w:r w:rsidR="00C31F15" w:rsidRPr="00172270">
              <w:rPr>
                <w:rFonts w:cs="Arial" w:hint="cs"/>
                <w:rtl/>
              </w:rPr>
              <w:t>בתרבית</w:t>
            </w:r>
            <w:r w:rsidR="00C31F15" w:rsidRPr="00172270">
              <w:rPr>
                <w:rFonts w:cs="Arial"/>
                <w:rtl/>
              </w:rPr>
              <w:t xml:space="preserve"> </w:t>
            </w:r>
            <w:r w:rsidR="00C31F15" w:rsidRPr="00172270">
              <w:rPr>
                <w:rFonts w:cs="Arial" w:hint="cs"/>
                <w:rtl/>
              </w:rPr>
              <w:t>תאי</w:t>
            </w:r>
            <w:r w:rsidR="00C31F15" w:rsidRPr="00172270">
              <w:rPr>
                <w:rFonts w:cs="Arial"/>
                <w:rtl/>
              </w:rPr>
              <w:t xml:space="preserve"> </w:t>
            </w:r>
            <w:r w:rsidR="00C31F15" w:rsidRPr="00172270">
              <w:rPr>
                <w:rFonts w:cs="Arial" w:hint="cs"/>
                <w:rtl/>
              </w:rPr>
              <w:t>צמחים</w:t>
            </w:r>
            <w:r w:rsidR="00C31F15" w:rsidRPr="00172270">
              <w:rPr>
                <w:rFonts w:cs="Arial"/>
                <w:rtl/>
              </w:rPr>
              <w:t xml:space="preserve">. </w:t>
            </w:r>
            <w:r w:rsidR="00C31F15" w:rsidRPr="00172270">
              <w:rPr>
                <w:rFonts w:cs="Arial" w:hint="cs"/>
                <w:rtl/>
              </w:rPr>
              <w:t>פעילות</w:t>
            </w:r>
            <w:r w:rsidR="00C31F15" w:rsidRPr="00172270">
              <w:rPr>
                <w:rFonts w:cs="Arial"/>
                <w:rtl/>
              </w:rPr>
              <w:t xml:space="preserve"> </w:t>
            </w:r>
            <w:r w:rsidR="00C31F15" w:rsidRPr="00172270">
              <w:rPr>
                <w:rFonts w:cs="Arial" w:hint="cs"/>
                <w:rtl/>
              </w:rPr>
              <w:t>זו</w:t>
            </w:r>
            <w:r w:rsidR="00C31F15" w:rsidRPr="00172270">
              <w:rPr>
                <w:rFonts w:cs="Arial"/>
                <w:rtl/>
              </w:rPr>
              <w:t xml:space="preserve"> </w:t>
            </w:r>
            <w:r w:rsidR="00C31F15" w:rsidRPr="00172270">
              <w:rPr>
                <w:rFonts w:cs="Arial" w:hint="cs"/>
                <w:rtl/>
              </w:rPr>
              <w:t>מתאימה</w:t>
            </w:r>
            <w:r w:rsidR="00C31F15" w:rsidRPr="00172270">
              <w:rPr>
                <w:rFonts w:cs="Arial"/>
                <w:rtl/>
              </w:rPr>
              <w:t xml:space="preserve"> </w:t>
            </w:r>
            <w:r w:rsidR="00C31F15" w:rsidRPr="00172270">
              <w:rPr>
                <w:rFonts w:cs="Arial" w:hint="cs"/>
                <w:rtl/>
              </w:rPr>
              <w:t>כתרגול</w:t>
            </w:r>
            <w:r w:rsidR="00C31F15" w:rsidRPr="00172270">
              <w:rPr>
                <w:rFonts w:cs="Arial"/>
                <w:rtl/>
              </w:rPr>
              <w:t xml:space="preserve"> </w:t>
            </w:r>
            <w:r w:rsidR="00C31F15" w:rsidRPr="00172270">
              <w:rPr>
                <w:rFonts w:cs="Arial" w:hint="cs"/>
                <w:rtl/>
              </w:rPr>
              <w:t>חווייתי</w:t>
            </w:r>
            <w:r w:rsidR="00C31F15" w:rsidRPr="00172270">
              <w:rPr>
                <w:rFonts w:cs="Arial"/>
                <w:rtl/>
              </w:rPr>
              <w:t xml:space="preserve"> </w:t>
            </w:r>
            <w:r w:rsidR="00C31F15" w:rsidRPr="00172270">
              <w:rPr>
                <w:rFonts w:cs="Arial" w:hint="cs"/>
                <w:rtl/>
              </w:rPr>
              <w:t>המסכם</w:t>
            </w:r>
            <w:r w:rsidR="00C31F15" w:rsidRPr="00172270">
              <w:rPr>
                <w:rFonts w:cs="Arial"/>
                <w:rtl/>
              </w:rPr>
              <w:t xml:space="preserve"> </w:t>
            </w:r>
            <w:r w:rsidR="00C31F15" w:rsidRPr="00172270">
              <w:rPr>
                <w:rFonts w:cs="Arial" w:hint="cs"/>
                <w:rtl/>
              </w:rPr>
              <w:t>את</w:t>
            </w:r>
            <w:r w:rsidR="00C31F15" w:rsidRPr="00172270">
              <w:rPr>
                <w:rFonts w:cs="Arial"/>
                <w:rtl/>
              </w:rPr>
              <w:t xml:space="preserve"> </w:t>
            </w:r>
            <w:r w:rsidR="00C31F15" w:rsidRPr="00172270">
              <w:rPr>
                <w:rFonts w:cs="Arial" w:hint="cs"/>
                <w:rtl/>
              </w:rPr>
              <w:t>הנושא</w:t>
            </w:r>
            <w:r w:rsidR="00C31F15" w:rsidRPr="00172270">
              <w:rPr>
                <w:rFonts w:cs="Arial"/>
                <w:rtl/>
              </w:rPr>
              <w:t xml:space="preserve"> </w:t>
            </w:r>
            <w:r w:rsidR="00C31F15" w:rsidRPr="00172270">
              <w:rPr>
                <w:rFonts w:cs="Arial" w:hint="cs"/>
                <w:rtl/>
              </w:rPr>
              <w:t>של</w:t>
            </w:r>
            <w:r w:rsidR="00C31F15" w:rsidRPr="00172270">
              <w:rPr>
                <w:rFonts w:cs="Arial"/>
                <w:rtl/>
              </w:rPr>
              <w:t xml:space="preserve"> </w:t>
            </w:r>
            <w:r w:rsidR="00C31F15" w:rsidRPr="00172270">
              <w:rPr>
                <w:rFonts w:cs="Arial" w:hint="cs"/>
                <w:rtl/>
              </w:rPr>
              <w:t>הנדסה</w:t>
            </w:r>
            <w:r w:rsidR="00C31F15" w:rsidRPr="00172270">
              <w:rPr>
                <w:rFonts w:cs="Arial"/>
                <w:rtl/>
              </w:rPr>
              <w:t xml:space="preserve"> </w:t>
            </w:r>
            <w:r w:rsidR="00C31F15" w:rsidRPr="00172270">
              <w:rPr>
                <w:rFonts w:cs="Arial" w:hint="cs"/>
                <w:rtl/>
              </w:rPr>
              <w:t>גנטית</w:t>
            </w:r>
            <w:r w:rsidR="00C31F15" w:rsidRPr="00172270">
              <w:rPr>
                <w:rFonts w:cs="Arial"/>
                <w:rtl/>
              </w:rPr>
              <w:t xml:space="preserve">.  </w:t>
            </w:r>
          </w:p>
        </w:tc>
      </w:tr>
      <w:tr w:rsidR="00C31F15" w14:paraId="1B5D93A0" w14:textId="77777777" w:rsidTr="00C31F15">
        <w:trPr>
          <w:trHeight w:val="664"/>
        </w:trPr>
        <w:tc>
          <w:tcPr>
            <w:tcW w:w="1382" w:type="dxa"/>
          </w:tcPr>
          <w:p w14:paraId="38BE776B" w14:textId="488FC33C" w:rsidR="00C31F15" w:rsidRPr="00F720A3" w:rsidRDefault="00C31F15" w:rsidP="00147C00">
            <w:pPr>
              <w:rPr>
                <w:b/>
                <w:bCs/>
                <w:sz w:val="24"/>
                <w:szCs w:val="24"/>
                <w:rtl/>
              </w:rPr>
            </w:pPr>
            <w:r>
              <w:rPr>
                <w:b/>
                <w:bCs/>
                <w:sz w:val="24"/>
                <w:szCs w:val="24"/>
                <w:rtl/>
                <w:lang w:bidi="ar-SA"/>
              </w:rPr>
              <w:t>مصادر معلومات</w:t>
            </w:r>
          </w:p>
        </w:tc>
        <w:tc>
          <w:tcPr>
            <w:tcW w:w="7368" w:type="dxa"/>
          </w:tcPr>
          <w:p w14:paraId="0DFFA143" w14:textId="5EC542DF" w:rsidR="00C31F15" w:rsidRDefault="00E47940" w:rsidP="00A9231A">
            <w:pPr>
              <w:rPr>
                <w:rtl/>
              </w:rPr>
            </w:pPr>
            <w:hyperlink r:id="rId9" w:history="1">
              <w:r w:rsidR="00C31F15" w:rsidRPr="00E002C2">
                <w:rPr>
                  <w:rStyle w:val="Hyperlink"/>
                  <w:rFonts w:hint="cs"/>
                  <w:rtl/>
                </w:rPr>
                <w:t>אתר של חברת פרוטליקס</w:t>
              </w:r>
            </w:hyperlink>
            <w:r w:rsidR="00C31F15">
              <w:rPr>
                <w:rFonts w:hint="cs"/>
                <w:rtl/>
              </w:rPr>
              <w:t xml:space="preserve"> </w:t>
            </w:r>
          </w:p>
          <w:p w14:paraId="2F5377B6" w14:textId="77777777" w:rsidR="00C31F15" w:rsidRDefault="00C31F15" w:rsidP="00A9231A">
            <w:pPr>
              <w:bidi w:val="0"/>
              <w:rPr>
                <w:rtl/>
              </w:rPr>
            </w:pPr>
          </w:p>
          <w:p w14:paraId="00F95BAD" w14:textId="2B76F25D" w:rsidR="00C31F15" w:rsidRDefault="00C31F15" w:rsidP="001365D5">
            <w:pPr>
              <w:shd w:val="clear" w:color="auto" w:fill="FFFFFF"/>
              <w:bidi w:val="0"/>
              <w:spacing w:line="300" w:lineRule="auto"/>
              <w:rPr>
                <w:color w:val="C00000"/>
              </w:rPr>
            </w:pPr>
            <w:r w:rsidRPr="00806FBC">
              <w:rPr>
                <w:noProof/>
              </w:rPr>
              <w:t xml:space="preserve">Clark David P., Pazdernik Nanette J., </w:t>
            </w:r>
            <w:r>
              <w:rPr>
                <w:noProof/>
              </w:rPr>
              <w:t>(2016</w:t>
            </w:r>
            <w:r w:rsidRPr="00806FBC">
              <w:rPr>
                <w:noProof/>
                <w:color w:val="C00000"/>
                <w:u w:val="single"/>
              </w:rPr>
              <w:t xml:space="preserve">) </w:t>
            </w:r>
            <w:hyperlink r:id="rId10" w:history="1">
              <w:r w:rsidRPr="00806FBC">
                <w:rPr>
                  <w:noProof/>
                  <w:color w:val="C00000"/>
                  <w:u w:val="single"/>
                </w:rPr>
                <w:t>Recombinant Proteins</w:t>
              </w:r>
            </w:hyperlink>
            <w:r>
              <w:rPr>
                <w:noProof/>
              </w:rPr>
              <w:t xml:space="preserve"> </w:t>
            </w:r>
            <w:r w:rsidRPr="00806FBC">
              <w:rPr>
                <w:noProof/>
              </w:rPr>
              <w:t xml:space="preserve">in </w:t>
            </w:r>
            <w:hyperlink r:id="rId11" w:history="1">
              <w:r w:rsidRPr="00806FBC">
                <w:rPr>
                  <w:noProof/>
                </w:rPr>
                <w:t>Biotechnology (Second Edition)</w:t>
              </w:r>
            </w:hyperlink>
            <w:r w:rsidRPr="00806FBC">
              <w:rPr>
                <w:noProof/>
              </w:rPr>
              <w:t>, 2016</w:t>
            </w:r>
          </w:p>
          <w:p w14:paraId="0D3CB354" w14:textId="77777777" w:rsidR="00C31F15" w:rsidRDefault="00C31F15" w:rsidP="001365D5">
            <w:pPr>
              <w:shd w:val="clear" w:color="auto" w:fill="FFFFFF"/>
              <w:bidi w:val="0"/>
              <w:spacing w:line="300" w:lineRule="auto"/>
              <w:rPr>
                <w:color w:val="C00000"/>
              </w:rPr>
            </w:pPr>
          </w:p>
          <w:p w14:paraId="738A3C18" w14:textId="04D82C2A" w:rsidR="00C31F15" w:rsidRPr="003D4620" w:rsidRDefault="00E47940" w:rsidP="007203F4">
            <w:pPr>
              <w:shd w:val="clear" w:color="auto" w:fill="FFFFFF"/>
              <w:bidi w:val="0"/>
              <w:spacing w:line="300" w:lineRule="auto"/>
            </w:pPr>
            <w:hyperlink r:id="rId12" w:history="1">
              <w:r w:rsidR="00C31F15" w:rsidRPr="003D4620">
                <w:rPr>
                  <w:rStyle w:val="Hyperlink"/>
                </w:rPr>
                <w:t>ELELYSO® (taliglucerase alfa) for injection</w:t>
              </w:r>
            </w:hyperlink>
          </w:p>
          <w:p w14:paraId="3EC3071C" w14:textId="2485771B" w:rsidR="00C31F15" w:rsidRPr="001365D5" w:rsidRDefault="00C31F15" w:rsidP="001365D5">
            <w:pPr>
              <w:shd w:val="clear" w:color="auto" w:fill="FFFFFF"/>
              <w:bidi w:val="0"/>
              <w:spacing w:line="300" w:lineRule="auto"/>
              <w:rPr>
                <w:color w:val="C00000"/>
              </w:rPr>
            </w:pPr>
          </w:p>
          <w:p w14:paraId="1DA8034F" w14:textId="47A2D69D" w:rsidR="00C31F15" w:rsidRDefault="00C31F15" w:rsidP="00A9231A">
            <w:pPr>
              <w:bidi w:val="0"/>
            </w:pPr>
            <w:r w:rsidRPr="00385D8C">
              <w:rPr>
                <w:noProof/>
              </w:rPr>
              <w:t>Falcone, Dana, Elisabeth McCarty Wood, Michael Mennuti, Sharon X. Xie, and Vivianna M. Van Deerlin.</w:t>
            </w:r>
            <w:r>
              <w:rPr>
                <w:noProof/>
              </w:rPr>
              <w:t xml:space="preserve"> (</w:t>
            </w:r>
            <w:r w:rsidRPr="00385D8C">
              <w:rPr>
                <w:noProof/>
              </w:rPr>
              <w:t>2012</w:t>
            </w:r>
            <w:r>
              <w:rPr>
                <w:noProof/>
              </w:rPr>
              <w:t>)</w:t>
            </w:r>
            <w:r w:rsidRPr="00385D8C">
              <w:rPr>
                <w:noProof/>
              </w:rPr>
              <w:t xml:space="preserve">. </w:t>
            </w:r>
            <w:hyperlink r:id="rId13" w:history="1">
              <w:r w:rsidRPr="00A9231A">
                <w:rPr>
                  <w:rStyle w:val="Hyperlink"/>
                  <w:noProof/>
                </w:rPr>
                <w:t>'Prenatal healthcare providers’ Gaucher disease carrier screening practices'</w:t>
              </w:r>
            </w:hyperlink>
            <w:r w:rsidRPr="00385D8C">
              <w:rPr>
                <w:noProof/>
              </w:rPr>
              <w:t xml:space="preserve">, </w:t>
            </w:r>
            <w:r w:rsidRPr="00385D8C">
              <w:rPr>
                <w:i/>
                <w:noProof/>
              </w:rPr>
              <w:t>Genetics In</w:t>
            </w:r>
            <w:r>
              <w:rPr>
                <w:noProof/>
              </w:rPr>
              <w:t xml:space="preserve"> </w:t>
            </w:r>
            <w:r w:rsidRPr="00385D8C">
              <w:rPr>
                <w:i/>
                <w:noProof/>
              </w:rPr>
              <w:t>Medicine</w:t>
            </w:r>
            <w:r w:rsidRPr="00385D8C">
              <w:rPr>
                <w:noProof/>
              </w:rPr>
              <w:t>, 14: 844.</w:t>
            </w:r>
          </w:p>
          <w:p w14:paraId="4D102252" w14:textId="77777777" w:rsidR="00C31F15" w:rsidRPr="00A9231A" w:rsidRDefault="00C31F15" w:rsidP="00A9231A">
            <w:pPr>
              <w:bidi w:val="0"/>
            </w:pPr>
          </w:p>
          <w:p w14:paraId="2B1B3614" w14:textId="77777777" w:rsidR="00C31F15" w:rsidRPr="00806FBC" w:rsidRDefault="00E47940" w:rsidP="001365D5">
            <w:pPr>
              <w:pStyle w:val="Heading3"/>
              <w:shd w:val="clear" w:color="auto" w:fill="FFFFFF"/>
              <w:spacing w:before="0" w:beforeAutospacing="0" w:after="0" w:afterAutospacing="0"/>
              <w:outlineLvl w:val="2"/>
              <w:rPr>
                <w:rFonts w:asciiTheme="minorHAnsi" w:eastAsiaTheme="minorHAnsi" w:hAnsiTheme="minorHAnsi" w:cstheme="minorBidi"/>
                <w:b w:val="0"/>
                <w:bCs w:val="0"/>
                <w:noProof/>
                <w:sz w:val="22"/>
                <w:szCs w:val="22"/>
              </w:rPr>
            </w:pPr>
            <w:hyperlink r:id="rId14" w:history="1">
              <w:r w:rsidR="00C31F15" w:rsidRPr="00323C86">
                <w:rPr>
                  <w:rFonts w:asciiTheme="minorHAnsi" w:eastAsiaTheme="minorHAnsi" w:hAnsiTheme="minorHAnsi" w:cstheme="minorBidi"/>
                  <w:b w:val="0"/>
                  <w:bCs w:val="0"/>
                  <w:noProof/>
                  <w:color w:val="C00000"/>
                  <w:sz w:val="22"/>
                  <w:szCs w:val="22"/>
                  <w:u w:val="single"/>
                </w:rPr>
                <w:t>HUMAN LYSOSOMAL PROTEINS FROM PLANT CELL CULTURE</w:t>
              </w:r>
            </w:hyperlink>
            <w:r w:rsidR="00C31F15">
              <w:rPr>
                <w:rFonts w:asciiTheme="minorHAnsi" w:eastAsiaTheme="minorHAnsi" w:hAnsiTheme="minorHAnsi" w:cstheme="minorBidi"/>
                <w:b w:val="0"/>
                <w:bCs w:val="0"/>
                <w:noProof/>
                <w:sz w:val="22"/>
                <w:szCs w:val="22"/>
              </w:rPr>
              <w:t xml:space="preserve">, (2012) </w:t>
            </w:r>
            <w:r w:rsidR="00C31F15" w:rsidRPr="00806FBC">
              <w:rPr>
                <w:rFonts w:asciiTheme="minorHAnsi" w:eastAsiaTheme="minorHAnsi" w:hAnsiTheme="minorHAnsi" w:cstheme="minorBidi"/>
                <w:b w:val="0"/>
                <w:bCs w:val="0"/>
                <w:noProof/>
                <w:sz w:val="22"/>
                <w:szCs w:val="22"/>
              </w:rPr>
              <w:t>Patents Assigned to Protalix</w:t>
            </w:r>
            <w:r w:rsidR="00C31F15">
              <w:rPr>
                <w:rFonts w:asciiTheme="minorHAnsi" w:eastAsiaTheme="minorHAnsi" w:hAnsiTheme="minorHAnsi" w:cstheme="minorBidi"/>
                <w:b w:val="0"/>
                <w:bCs w:val="0"/>
                <w:noProof/>
                <w:sz w:val="22"/>
                <w:szCs w:val="22"/>
              </w:rPr>
              <w:t>, JUSTIA patents</w:t>
            </w:r>
          </w:p>
          <w:p w14:paraId="4DF6796D" w14:textId="77777777" w:rsidR="00C31F15" w:rsidRDefault="00C31F15" w:rsidP="001365D5">
            <w:pPr>
              <w:shd w:val="clear" w:color="auto" w:fill="FFFFFF"/>
              <w:bidi w:val="0"/>
              <w:spacing w:line="300" w:lineRule="auto"/>
              <w:rPr>
                <w:color w:val="C00000"/>
              </w:rPr>
            </w:pPr>
          </w:p>
          <w:p w14:paraId="4F521788" w14:textId="7E2C6D5B" w:rsidR="00C31F15" w:rsidRPr="003D4620" w:rsidRDefault="00C31F15" w:rsidP="007203F4">
            <w:pPr>
              <w:pStyle w:val="Heading3"/>
              <w:shd w:val="clear" w:color="auto" w:fill="FFFFFF"/>
              <w:spacing w:before="0" w:beforeAutospacing="0" w:after="0" w:afterAutospacing="0"/>
              <w:outlineLvl w:val="2"/>
              <w:rPr>
                <w:rFonts w:asciiTheme="minorHAnsi" w:eastAsiaTheme="minorHAnsi" w:hAnsiTheme="minorHAnsi" w:cstheme="minorBidi"/>
                <w:b w:val="0"/>
                <w:bCs w:val="0"/>
                <w:sz w:val="22"/>
                <w:szCs w:val="22"/>
                <w:rtl/>
              </w:rPr>
            </w:pPr>
            <w:r w:rsidRPr="003D4620">
              <w:rPr>
                <w:rFonts w:asciiTheme="minorHAnsi" w:eastAsiaTheme="minorHAnsi" w:hAnsiTheme="minorHAnsi" w:cstheme="minorBidi"/>
                <w:b w:val="0"/>
                <w:bCs w:val="0"/>
                <w:sz w:val="22"/>
                <w:szCs w:val="22"/>
              </w:rPr>
              <w:t>Learning About Gaucher Disease</w:t>
            </w:r>
            <w:r w:rsidRPr="00806FBC">
              <w:rPr>
                <w:rFonts w:asciiTheme="minorHAnsi" w:eastAsiaTheme="minorHAnsi" w:hAnsiTheme="minorHAnsi" w:cstheme="minorBidi"/>
                <w:b w:val="0"/>
                <w:bCs w:val="0"/>
                <w:sz w:val="22"/>
                <w:szCs w:val="22"/>
              </w:rPr>
              <w:t xml:space="preserve">, </w:t>
            </w:r>
            <w:hyperlink r:id="rId15" w:history="1">
              <w:r w:rsidRPr="00806FBC">
                <w:rPr>
                  <w:rFonts w:asciiTheme="minorHAnsi" w:eastAsiaTheme="minorHAnsi" w:hAnsiTheme="minorHAnsi" w:cstheme="minorBidi"/>
                  <w:b w:val="0"/>
                  <w:bCs w:val="0"/>
                  <w:sz w:val="22"/>
                  <w:szCs w:val="22"/>
                </w:rPr>
                <w:t>National Institutes of Health (NIH)</w:t>
              </w:r>
            </w:hyperlink>
          </w:p>
        </w:tc>
      </w:tr>
    </w:tbl>
    <w:p w14:paraId="5362521B" w14:textId="65294109" w:rsidR="00B1773F" w:rsidRPr="00FD162C" w:rsidRDefault="00B1773F" w:rsidP="00FD162C">
      <w:pPr>
        <w:rPr>
          <w:rtl/>
        </w:rPr>
      </w:pPr>
    </w:p>
    <w:sectPr w:rsidR="00B1773F" w:rsidRPr="00FD162C">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957B9D" w14:textId="77777777" w:rsidR="00E47940" w:rsidRDefault="00E47940" w:rsidP="00385D8C">
      <w:pPr>
        <w:spacing w:after="0" w:line="240" w:lineRule="auto"/>
      </w:pPr>
      <w:r>
        <w:separator/>
      </w:r>
    </w:p>
  </w:endnote>
  <w:endnote w:type="continuationSeparator" w:id="0">
    <w:p w14:paraId="111D40BA" w14:textId="77777777" w:rsidR="00E47940" w:rsidRDefault="00E47940" w:rsidP="00385D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A4324B" w14:textId="77777777" w:rsidR="00E47940" w:rsidRDefault="00E47940" w:rsidP="00385D8C">
      <w:pPr>
        <w:spacing w:after="0" w:line="240" w:lineRule="auto"/>
      </w:pPr>
      <w:r>
        <w:separator/>
      </w:r>
    </w:p>
  </w:footnote>
  <w:footnote w:type="continuationSeparator" w:id="0">
    <w:p w14:paraId="606B5F81" w14:textId="77777777" w:rsidR="00E47940" w:rsidRDefault="00E47940" w:rsidP="00385D8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HRA (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pdd0z0vir2zwnep5p5xapedvz0pa0wevses&quot;&gt;My EndNote Library&lt;record-ids&gt;&lt;item&gt;49&lt;/item&gt;&lt;/record-ids&gt;&lt;/item&gt;&lt;/Libraries&gt;"/>
  </w:docVars>
  <w:rsids>
    <w:rsidRoot w:val="00445072"/>
    <w:rsid w:val="00005311"/>
    <w:rsid w:val="00037AB5"/>
    <w:rsid w:val="00041547"/>
    <w:rsid w:val="00067091"/>
    <w:rsid w:val="00074E2E"/>
    <w:rsid w:val="00076519"/>
    <w:rsid w:val="00080EF0"/>
    <w:rsid w:val="000E0A46"/>
    <w:rsid w:val="000F2B68"/>
    <w:rsid w:val="000F3CD7"/>
    <w:rsid w:val="000F763C"/>
    <w:rsid w:val="000F7A11"/>
    <w:rsid w:val="001028D7"/>
    <w:rsid w:val="00124E2E"/>
    <w:rsid w:val="001365D5"/>
    <w:rsid w:val="00172270"/>
    <w:rsid w:val="00191E5B"/>
    <w:rsid w:val="001A6E08"/>
    <w:rsid w:val="001C7CB9"/>
    <w:rsid w:val="002474AB"/>
    <w:rsid w:val="0028785A"/>
    <w:rsid w:val="002A1CD6"/>
    <w:rsid w:val="002A5AB3"/>
    <w:rsid w:val="002D27C4"/>
    <w:rsid w:val="002F5D6D"/>
    <w:rsid w:val="00316370"/>
    <w:rsid w:val="00323C86"/>
    <w:rsid w:val="003433C4"/>
    <w:rsid w:val="0035383E"/>
    <w:rsid w:val="00377752"/>
    <w:rsid w:val="00385D8C"/>
    <w:rsid w:val="003A7728"/>
    <w:rsid w:val="003B74AE"/>
    <w:rsid w:val="003D4620"/>
    <w:rsid w:val="003F54B9"/>
    <w:rsid w:val="00417843"/>
    <w:rsid w:val="0044277E"/>
    <w:rsid w:val="00445072"/>
    <w:rsid w:val="00445305"/>
    <w:rsid w:val="00482BBC"/>
    <w:rsid w:val="004913EE"/>
    <w:rsid w:val="004B53FE"/>
    <w:rsid w:val="00501444"/>
    <w:rsid w:val="00515294"/>
    <w:rsid w:val="00570C6B"/>
    <w:rsid w:val="005940D1"/>
    <w:rsid w:val="005B760B"/>
    <w:rsid w:val="005D1152"/>
    <w:rsid w:val="00601E10"/>
    <w:rsid w:val="00603991"/>
    <w:rsid w:val="00651B92"/>
    <w:rsid w:val="00653FF1"/>
    <w:rsid w:val="006A207C"/>
    <w:rsid w:val="006C43B9"/>
    <w:rsid w:val="006C4E15"/>
    <w:rsid w:val="007203F4"/>
    <w:rsid w:val="007474B2"/>
    <w:rsid w:val="00786974"/>
    <w:rsid w:val="007929C7"/>
    <w:rsid w:val="00806FBC"/>
    <w:rsid w:val="008105E8"/>
    <w:rsid w:val="00831D0B"/>
    <w:rsid w:val="00840510"/>
    <w:rsid w:val="00861CA6"/>
    <w:rsid w:val="00884196"/>
    <w:rsid w:val="008C30D4"/>
    <w:rsid w:val="008E4B63"/>
    <w:rsid w:val="00900824"/>
    <w:rsid w:val="00910AC9"/>
    <w:rsid w:val="00942E3D"/>
    <w:rsid w:val="00963BAF"/>
    <w:rsid w:val="009824E4"/>
    <w:rsid w:val="009943D0"/>
    <w:rsid w:val="009B7113"/>
    <w:rsid w:val="009C2DFD"/>
    <w:rsid w:val="00A856AD"/>
    <w:rsid w:val="00A91E4B"/>
    <w:rsid w:val="00A9231A"/>
    <w:rsid w:val="00AA0A28"/>
    <w:rsid w:val="00AB31FF"/>
    <w:rsid w:val="00AC0215"/>
    <w:rsid w:val="00AC5DA2"/>
    <w:rsid w:val="00AF61DE"/>
    <w:rsid w:val="00B1773F"/>
    <w:rsid w:val="00B90738"/>
    <w:rsid w:val="00BA04B0"/>
    <w:rsid w:val="00BB1D8B"/>
    <w:rsid w:val="00BD0D70"/>
    <w:rsid w:val="00BD5A9C"/>
    <w:rsid w:val="00BE33D2"/>
    <w:rsid w:val="00C25DEB"/>
    <w:rsid w:val="00C31F15"/>
    <w:rsid w:val="00C4621B"/>
    <w:rsid w:val="00C57C08"/>
    <w:rsid w:val="00CB3FF7"/>
    <w:rsid w:val="00D1103A"/>
    <w:rsid w:val="00D21D06"/>
    <w:rsid w:val="00D22270"/>
    <w:rsid w:val="00D95322"/>
    <w:rsid w:val="00DA2654"/>
    <w:rsid w:val="00DF2839"/>
    <w:rsid w:val="00E002C2"/>
    <w:rsid w:val="00E11CC4"/>
    <w:rsid w:val="00E309CA"/>
    <w:rsid w:val="00E47940"/>
    <w:rsid w:val="00E64C36"/>
    <w:rsid w:val="00E95B34"/>
    <w:rsid w:val="00E9707F"/>
    <w:rsid w:val="00F738BB"/>
    <w:rsid w:val="00F760E4"/>
    <w:rsid w:val="00FC1A6A"/>
    <w:rsid w:val="00FD162C"/>
    <w:rsid w:val="00FD72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EAB05"/>
  <w15:docId w15:val="{8A089F49-2693-413C-B9B9-B877825F6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5072"/>
    <w:pPr>
      <w:bidi/>
    </w:pPr>
  </w:style>
  <w:style w:type="paragraph" w:styleId="Heading2">
    <w:name w:val="heading 2"/>
    <w:basedOn w:val="Normal"/>
    <w:next w:val="Normal"/>
    <w:link w:val="Heading2Char"/>
    <w:uiPriority w:val="9"/>
    <w:unhideWhenUsed/>
    <w:qFormat/>
    <w:rsid w:val="00806FB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806FBC"/>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0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45072"/>
    <w:rPr>
      <w:color w:val="0563C1" w:themeColor="hyperlink"/>
      <w:u w:val="single"/>
    </w:rPr>
  </w:style>
  <w:style w:type="paragraph" w:styleId="NormalWeb">
    <w:name w:val="Normal (Web)"/>
    <w:basedOn w:val="Normal"/>
    <w:uiPriority w:val="99"/>
    <w:unhideWhenUsed/>
    <w:rsid w:val="0044507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AC5DA2"/>
    <w:rPr>
      <w:sz w:val="16"/>
      <w:szCs w:val="16"/>
    </w:rPr>
  </w:style>
  <w:style w:type="paragraph" w:styleId="CommentText">
    <w:name w:val="annotation text"/>
    <w:basedOn w:val="Normal"/>
    <w:link w:val="CommentTextChar"/>
    <w:uiPriority w:val="99"/>
    <w:semiHidden/>
    <w:unhideWhenUsed/>
    <w:rsid w:val="00AC5DA2"/>
    <w:pPr>
      <w:spacing w:line="240" w:lineRule="auto"/>
    </w:pPr>
    <w:rPr>
      <w:sz w:val="20"/>
      <w:szCs w:val="20"/>
    </w:rPr>
  </w:style>
  <w:style w:type="character" w:customStyle="1" w:styleId="CommentTextChar">
    <w:name w:val="Comment Text Char"/>
    <w:basedOn w:val="DefaultParagraphFont"/>
    <w:link w:val="CommentText"/>
    <w:uiPriority w:val="99"/>
    <w:semiHidden/>
    <w:rsid w:val="00AC5DA2"/>
    <w:rPr>
      <w:sz w:val="20"/>
      <w:szCs w:val="20"/>
    </w:rPr>
  </w:style>
  <w:style w:type="paragraph" w:styleId="CommentSubject">
    <w:name w:val="annotation subject"/>
    <w:basedOn w:val="CommentText"/>
    <w:next w:val="CommentText"/>
    <w:link w:val="CommentSubjectChar"/>
    <w:uiPriority w:val="99"/>
    <w:semiHidden/>
    <w:unhideWhenUsed/>
    <w:rsid w:val="00AC5DA2"/>
    <w:rPr>
      <w:b/>
      <w:bCs/>
    </w:rPr>
  </w:style>
  <w:style w:type="character" w:customStyle="1" w:styleId="CommentSubjectChar">
    <w:name w:val="Comment Subject Char"/>
    <w:basedOn w:val="CommentTextChar"/>
    <w:link w:val="CommentSubject"/>
    <w:uiPriority w:val="99"/>
    <w:semiHidden/>
    <w:rsid w:val="00AC5DA2"/>
    <w:rPr>
      <w:b/>
      <w:bCs/>
      <w:sz w:val="20"/>
      <w:szCs w:val="20"/>
    </w:rPr>
  </w:style>
  <w:style w:type="paragraph" w:styleId="BalloonText">
    <w:name w:val="Balloon Text"/>
    <w:basedOn w:val="Normal"/>
    <w:link w:val="BalloonTextChar"/>
    <w:uiPriority w:val="99"/>
    <w:semiHidden/>
    <w:unhideWhenUsed/>
    <w:rsid w:val="00AC5D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5DA2"/>
    <w:rPr>
      <w:rFonts w:ascii="Segoe UI" w:hAnsi="Segoe UI" w:cs="Segoe UI"/>
      <w:sz w:val="18"/>
      <w:szCs w:val="18"/>
    </w:rPr>
  </w:style>
  <w:style w:type="character" w:styleId="FollowedHyperlink">
    <w:name w:val="FollowedHyperlink"/>
    <w:basedOn w:val="DefaultParagraphFont"/>
    <w:uiPriority w:val="99"/>
    <w:semiHidden/>
    <w:unhideWhenUsed/>
    <w:rsid w:val="00E002C2"/>
    <w:rPr>
      <w:color w:val="954F72" w:themeColor="followedHyperlink"/>
      <w:u w:val="single"/>
    </w:rPr>
  </w:style>
  <w:style w:type="paragraph" w:customStyle="1" w:styleId="EndNoteBibliographyTitle">
    <w:name w:val="EndNote Bibliography Title"/>
    <w:basedOn w:val="Normal"/>
    <w:link w:val="EndNoteBibliographyTitleChar"/>
    <w:rsid w:val="00385D8C"/>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385D8C"/>
    <w:rPr>
      <w:rFonts w:ascii="Calibri" w:hAnsi="Calibri"/>
      <w:noProof/>
    </w:rPr>
  </w:style>
  <w:style w:type="paragraph" w:customStyle="1" w:styleId="EndNoteBibliography">
    <w:name w:val="EndNote Bibliography"/>
    <w:basedOn w:val="Normal"/>
    <w:link w:val="EndNoteBibliographyChar"/>
    <w:rsid w:val="00385D8C"/>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385D8C"/>
    <w:rPr>
      <w:rFonts w:ascii="Calibri" w:hAnsi="Calibri"/>
      <w:noProof/>
    </w:rPr>
  </w:style>
  <w:style w:type="paragraph" w:styleId="Header">
    <w:name w:val="header"/>
    <w:basedOn w:val="Normal"/>
    <w:link w:val="HeaderChar"/>
    <w:uiPriority w:val="99"/>
    <w:unhideWhenUsed/>
    <w:rsid w:val="00385D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5D8C"/>
  </w:style>
  <w:style w:type="paragraph" w:styleId="Footer">
    <w:name w:val="footer"/>
    <w:basedOn w:val="Normal"/>
    <w:link w:val="FooterChar"/>
    <w:uiPriority w:val="99"/>
    <w:unhideWhenUsed/>
    <w:rsid w:val="00385D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5D8C"/>
  </w:style>
  <w:style w:type="character" w:customStyle="1" w:styleId="Heading3Char">
    <w:name w:val="Heading 3 Char"/>
    <w:basedOn w:val="DefaultParagraphFont"/>
    <w:link w:val="Heading3"/>
    <w:uiPriority w:val="9"/>
    <w:rsid w:val="00806FBC"/>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rsid w:val="00806FBC"/>
    <w:rPr>
      <w:rFonts w:asciiTheme="majorHAnsi" w:eastAsiaTheme="majorEastAsia" w:hAnsiTheme="majorHAnsi" w:cstheme="majorBidi"/>
      <w:color w:val="2E74B5" w:themeColor="accent1" w:themeShade="BF"/>
      <w:sz w:val="26"/>
      <w:szCs w:val="26"/>
    </w:rPr>
  </w:style>
  <w:style w:type="character" w:customStyle="1" w:styleId="anchor-text">
    <w:name w:val="anchor-text"/>
    <w:basedOn w:val="DefaultParagraphFont"/>
    <w:rsid w:val="00806F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4080">
      <w:bodyDiv w:val="1"/>
      <w:marLeft w:val="0"/>
      <w:marRight w:val="0"/>
      <w:marTop w:val="0"/>
      <w:marBottom w:val="0"/>
      <w:divBdr>
        <w:top w:val="none" w:sz="0" w:space="0" w:color="auto"/>
        <w:left w:val="none" w:sz="0" w:space="0" w:color="auto"/>
        <w:bottom w:val="none" w:sz="0" w:space="0" w:color="auto"/>
        <w:right w:val="none" w:sz="0" w:space="0" w:color="auto"/>
      </w:divBdr>
    </w:div>
    <w:div w:id="544217496">
      <w:bodyDiv w:val="1"/>
      <w:marLeft w:val="0"/>
      <w:marRight w:val="0"/>
      <w:marTop w:val="0"/>
      <w:marBottom w:val="0"/>
      <w:divBdr>
        <w:top w:val="none" w:sz="0" w:space="0" w:color="auto"/>
        <w:left w:val="none" w:sz="0" w:space="0" w:color="auto"/>
        <w:bottom w:val="none" w:sz="0" w:space="0" w:color="auto"/>
        <w:right w:val="none" w:sz="0" w:space="0" w:color="auto"/>
      </w:divBdr>
    </w:div>
    <w:div w:id="544483980">
      <w:bodyDiv w:val="1"/>
      <w:marLeft w:val="0"/>
      <w:marRight w:val="0"/>
      <w:marTop w:val="0"/>
      <w:marBottom w:val="0"/>
      <w:divBdr>
        <w:top w:val="none" w:sz="0" w:space="0" w:color="auto"/>
        <w:left w:val="none" w:sz="0" w:space="0" w:color="auto"/>
        <w:bottom w:val="none" w:sz="0" w:space="0" w:color="auto"/>
        <w:right w:val="none" w:sz="0" w:space="0" w:color="auto"/>
      </w:divBdr>
    </w:div>
    <w:div w:id="1248268364">
      <w:bodyDiv w:val="1"/>
      <w:marLeft w:val="0"/>
      <w:marRight w:val="0"/>
      <w:marTop w:val="0"/>
      <w:marBottom w:val="0"/>
      <w:divBdr>
        <w:top w:val="none" w:sz="0" w:space="0" w:color="auto"/>
        <w:left w:val="none" w:sz="0" w:space="0" w:color="auto"/>
        <w:bottom w:val="none" w:sz="0" w:space="0" w:color="auto"/>
        <w:right w:val="none" w:sz="0" w:space="0" w:color="auto"/>
      </w:divBdr>
    </w:div>
    <w:div w:id="1307588698">
      <w:bodyDiv w:val="1"/>
      <w:marLeft w:val="0"/>
      <w:marRight w:val="0"/>
      <w:marTop w:val="0"/>
      <w:marBottom w:val="0"/>
      <w:divBdr>
        <w:top w:val="none" w:sz="0" w:space="0" w:color="auto"/>
        <w:left w:val="none" w:sz="0" w:space="0" w:color="auto"/>
        <w:bottom w:val="none" w:sz="0" w:space="0" w:color="auto"/>
        <w:right w:val="none" w:sz="0" w:space="0" w:color="auto"/>
      </w:divBdr>
      <w:divsChild>
        <w:div w:id="600333651">
          <w:marLeft w:val="0"/>
          <w:marRight w:val="0"/>
          <w:marTop w:val="0"/>
          <w:marBottom w:val="0"/>
          <w:divBdr>
            <w:top w:val="none" w:sz="0" w:space="0" w:color="auto"/>
            <w:left w:val="none" w:sz="0" w:space="0" w:color="auto"/>
            <w:bottom w:val="none" w:sz="0" w:space="0" w:color="auto"/>
            <w:right w:val="none" w:sz="0" w:space="0" w:color="auto"/>
          </w:divBdr>
          <w:divsChild>
            <w:div w:id="1123496721">
              <w:marLeft w:val="0"/>
              <w:marRight w:val="0"/>
              <w:marTop w:val="0"/>
              <w:marBottom w:val="0"/>
              <w:divBdr>
                <w:top w:val="none" w:sz="0" w:space="0" w:color="auto"/>
                <w:left w:val="none" w:sz="0" w:space="0" w:color="auto"/>
                <w:bottom w:val="none" w:sz="0" w:space="0" w:color="auto"/>
                <w:right w:val="none" w:sz="0" w:space="0" w:color="auto"/>
              </w:divBdr>
              <w:divsChild>
                <w:div w:id="138613072">
                  <w:marLeft w:val="0"/>
                  <w:marRight w:val="0"/>
                  <w:marTop w:val="0"/>
                  <w:marBottom w:val="0"/>
                  <w:divBdr>
                    <w:top w:val="none" w:sz="0" w:space="0" w:color="auto"/>
                    <w:left w:val="none" w:sz="0" w:space="0" w:color="auto"/>
                    <w:bottom w:val="none" w:sz="0" w:space="0" w:color="auto"/>
                    <w:right w:val="none" w:sz="0" w:space="0" w:color="auto"/>
                  </w:divBdr>
                  <w:divsChild>
                    <w:div w:id="1866946132">
                      <w:marLeft w:val="0"/>
                      <w:marRight w:val="0"/>
                      <w:marTop w:val="0"/>
                      <w:marBottom w:val="0"/>
                      <w:divBdr>
                        <w:top w:val="none" w:sz="0" w:space="0" w:color="auto"/>
                        <w:left w:val="none" w:sz="0" w:space="0" w:color="auto"/>
                        <w:bottom w:val="none" w:sz="0" w:space="0" w:color="auto"/>
                        <w:right w:val="none" w:sz="0" w:space="0" w:color="auto"/>
                      </w:divBdr>
                      <w:divsChild>
                        <w:div w:id="575551631">
                          <w:marLeft w:val="0"/>
                          <w:marRight w:val="0"/>
                          <w:marTop w:val="0"/>
                          <w:marBottom w:val="0"/>
                          <w:divBdr>
                            <w:top w:val="none" w:sz="0" w:space="0" w:color="auto"/>
                            <w:left w:val="none" w:sz="0" w:space="0" w:color="auto"/>
                            <w:bottom w:val="none" w:sz="0" w:space="0" w:color="auto"/>
                            <w:right w:val="none" w:sz="0" w:space="0" w:color="auto"/>
                          </w:divBdr>
                          <w:divsChild>
                            <w:div w:id="1652252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8579514">
      <w:bodyDiv w:val="1"/>
      <w:marLeft w:val="0"/>
      <w:marRight w:val="0"/>
      <w:marTop w:val="0"/>
      <w:marBottom w:val="0"/>
      <w:divBdr>
        <w:top w:val="none" w:sz="0" w:space="0" w:color="auto"/>
        <w:left w:val="none" w:sz="0" w:space="0" w:color="auto"/>
        <w:bottom w:val="none" w:sz="0" w:space="0" w:color="auto"/>
        <w:right w:val="none" w:sz="0" w:space="0" w:color="auto"/>
      </w:divBdr>
      <w:divsChild>
        <w:div w:id="1014959951">
          <w:marLeft w:val="0"/>
          <w:marRight w:val="0"/>
          <w:marTop w:val="0"/>
          <w:marBottom w:val="0"/>
          <w:divBdr>
            <w:top w:val="none" w:sz="0" w:space="0" w:color="auto"/>
            <w:left w:val="none" w:sz="0" w:space="0" w:color="auto"/>
            <w:bottom w:val="none" w:sz="0" w:space="0" w:color="auto"/>
            <w:right w:val="none" w:sz="0" w:space="0" w:color="auto"/>
          </w:divBdr>
          <w:divsChild>
            <w:div w:id="2003774262">
              <w:marLeft w:val="0"/>
              <w:marRight w:val="0"/>
              <w:marTop w:val="0"/>
              <w:marBottom w:val="0"/>
              <w:divBdr>
                <w:top w:val="none" w:sz="0" w:space="0" w:color="auto"/>
                <w:left w:val="none" w:sz="0" w:space="0" w:color="auto"/>
                <w:bottom w:val="none" w:sz="0" w:space="0" w:color="auto"/>
                <w:right w:val="none" w:sz="0" w:space="0" w:color="auto"/>
              </w:divBdr>
              <w:divsChild>
                <w:div w:id="219365824">
                  <w:marLeft w:val="0"/>
                  <w:marRight w:val="0"/>
                  <w:marTop w:val="0"/>
                  <w:marBottom w:val="300"/>
                  <w:divBdr>
                    <w:top w:val="none" w:sz="0" w:space="0" w:color="auto"/>
                    <w:left w:val="none" w:sz="0" w:space="0" w:color="auto"/>
                    <w:bottom w:val="none" w:sz="0" w:space="0" w:color="auto"/>
                    <w:right w:val="none" w:sz="0" w:space="0" w:color="auto"/>
                  </w:divBdr>
                  <w:divsChild>
                    <w:div w:id="1975405610">
                      <w:marLeft w:val="0"/>
                      <w:marRight w:val="0"/>
                      <w:marTop w:val="0"/>
                      <w:marBottom w:val="0"/>
                      <w:divBdr>
                        <w:top w:val="none" w:sz="0" w:space="0" w:color="auto"/>
                        <w:left w:val="none" w:sz="0" w:space="0" w:color="auto"/>
                        <w:bottom w:val="none" w:sz="0" w:space="0" w:color="auto"/>
                        <w:right w:val="none" w:sz="0" w:space="0" w:color="auto"/>
                      </w:divBdr>
                      <w:divsChild>
                        <w:div w:id="2106265257">
                          <w:marLeft w:val="0"/>
                          <w:marRight w:val="0"/>
                          <w:marTop w:val="0"/>
                          <w:marBottom w:val="0"/>
                          <w:divBdr>
                            <w:top w:val="none" w:sz="0" w:space="0" w:color="auto"/>
                            <w:left w:val="none" w:sz="0" w:space="0" w:color="auto"/>
                            <w:bottom w:val="none" w:sz="0" w:space="0" w:color="auto"/>
                            <w:right w:val="none" w:sz="0" w:space="0" w:color="auto"/>
                          </w:divBdr>
                          <w:divsChild>
                            <w:div w:id="133104553">
                              <w:marLeft w:val="0"/>
                              <w:marRight w:val="0"/>
                              <w:marTop w:val="0"/>
                              <w:marBottom w:val="0"/>
                              <w:divBdr>
                                <w:top w:val="none" w:sz="0" w:space="0" w:color="auto"/>
                                <w:left w:val="none" w:sz="0" w:space="0" w:color="auto"/>
                                <w:bottom w:val="none" w:sz="0" w:space="0" w:color="auto"/>
                                <w:right w:val="none" w:sz="0" w:space="0" w:color="auto"/>
                              </w:divBdr>
                              <w:divsChild>
                                <w:div w:id="1003357691">
                                  <w:marLeft w:val="0"/>
                                  <w:marRight w:val="0"/>
                                  <w:marTop w:val="0"/>
                                  <w:marBottom w:val="0"/>
                                  <w:divBdr>
                                    <w:top w:val="none" w:sz="0" w:space="0" w:color="auto"/>
                                    <w:left w:val="none" w:sz="0" w:space="0" w:color="auto"/>
                                    <w:bottom w:val="none" w:sz="0" w:space="0" w:color="auto"/>
                                    <w:right w:val="none" w:sz="0" w:space="0" w:color="auto"/>
                                  </w:divBdr>
                                  <w:divsChild>
                                    <w:div w:id="1098597919">
                                      <w:marLeft w:val="0"/>
                                      <w:marRight w:val="0"/>
                                      <w:marTop w:val="0"/>
                                      <w:marBottom w:val="0"/>
                                      <w:divBdr>
                                        <w:top w:val="none" w:sz="0" w:space="0" w:color="auto"/>
                                        <w:left w:val="none" w:sz="0" w:space="0" w:color="auto"/>
                                        <w:bottom w:val="none" w:sz="0" w:space="0" w:color="auto"/>
                                        <w:right w:val="none" w:sz="0" w:space="0" w:color="auto"/>
                                      </w:divBdr>
                                      <w:divsChild>
                                        <w:div w:id="1129057566">
                                          <w:marLeft w:val="0"/>
                                          <w:marRight w:val="0"/>
                                          <w:marTop w:val="0"/>
                                          <w:marBottom w:val="0"/>
                                          <w:divBdr>
                                            <w:top w:val="none" w:sz="0" w:space="0" w:color="auto"/>
                                            <w:left w:val="none" w:sz="0" w:space="0" w:color="auto"/>
                                            <w:bottom w:val="none" w:sz="0" w:space="0" w:color="auto"/>
                                            <w:right w:val="none" w:sz="0" w:space="0" w:color="auto"/>
                                          </w:divBdr>
                                          <w:divsChild>
                                            <w:div w:id="668675113">
                                              <w:marLeft w:val="0"/>
                                              <w:marRight w:val="0"/>
                                              <w:marTop w:val="0"/>
                                              <w:marBottom w:val="0"/>
                                              <w:divBdr>
                                                <w:top w:val="none" w:sz="0" w:space="0" w:color="auto"/>
                                                <w:left w:val="none" w:sz="0" w:space="0" w:color="auto"/>
                                                <w:bottom w:val="none" w:sz="0" w:space="0" w:color="auto"/>
                                                <w:right w:val="none" w:sz="0" w:space="0" w:color="auto"/>
                                              </w:divBdr>
                                              <w:divsChild>
                                                <w:div w:id="1736902007">
                                                  <w:marLeft w:val="0"/>
                                                  <w:marRight w:val="0"/>
                                                  <w:marTop w:val="0"/>
                                                  <w:marBottom w:val="0"/>
                                                  <w:divBdr>
                                                    <w:top w:val="none" w:sz="0" w:space="0" w:color="auto"/>
                                                    <w:left w:val="none" w:sz="0" w:space="0" w:color="auto"/>
                                                    <w:bottom w:val="none" w:sz="0" w:space="0" w:color="auto"/>
                                                    <w:right w:val="none" w:sz="0" w:space="0" w:color="auto"/>
                                                  </w:divBdr>
                                                  <w:divsChild>
                                                    <w:div w:id="566840033">
                                                      <w:marLeft w:val="0"/>
                                                      <w:marRight w:val="0"/>
                                                      <w:marTop w:val="0"/>
                                                      <w:marBottom w:val="0"/>
                                                      <w:divBdr>
                                                        <w:top w:val="none" w:sz="0" w:space="0" w:color="auto"/>
                                                        <w:left w:val="none" w:sz="0" w:space="0" w:color="auto"/>
                                                        <w:bottom w:val="none" w:sz="0" w:space="0" w:color="auto"/>
                                                        <w:right w:val="none" w:sz="0" w:space="0" w:color="auto"/>
                                                      </w:divBdr>
                                                      <w:divsChild>
                                                        <w:div w:id="109783707">
                                                          <w:marLeft w:val="0"/>
                                                          <w:marRight w:val="0"/>
                                                          <w:marTop w:val="0"/>
                                                          <w:marBottom w:val="0"/>
                                                          <w:divBdr>
                                                            <w:top w:val="none" w:sz="0" w:space="0" w:color="auto"/>
                                                            <w:left w:val="none" w:sz="0" w:space="0" w:color="auto"/>
                                                            <w:bottom w:val="none" w:sz="0" w:space="0" w:color="auto"/>
                                                            <w:right w:val="none" w:sz="0" w:space="0" w:color="auto"/>
                                                          </w:divBdr>
                                                          <w:divsChild>
                                                            <w:div w:id="45056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116483">
                                                      <w:marLeft w:val="0"/>
                                                      <w:marRight w:val="0"/>
                                                      <w:marTop w:val="0"/>
                                                      <w:marBottom w:val="0"/>
                                                      <w:divBdr>
                                                        <w:top w:val="none" w:sz="0" w:space="0" w:color="auto"/>
                                                        <w:left w:val="none" w:sz="0" w:space="0" w:color="auto"/>
                                                        <w:bottom w:val="none" w:sz="0" w:space="0" w:color="auto"/>
                                                        <w:right w:val="none" w:sz="0" w:space="0" w:color="auto"/>
                                                      </w:divBdr>
                                                      <w:divsChild>
                                                        <w:div w:id="1233200679">
                                                          <w:marLeft w:val="0"/>
                                                          <w:marRight w:val="0"/>
                                                          <w:marTop w:val="0"/>
                                                          <w:marBottom w:val="0"/>
                                                          <w:divBdr>
                                                            <w:top w:val="none" w:sz="0" w:space="0" w:color="auto"/>
                                                            <w:left w:val="none" w:sz="0" w:space="0" w:color="auto"/>
                                                            <w:bottom w:val="none" w:sz="0" w:space="0" w:color="auto"/>
                                                            <w:right w:val="none" w:sz="0" w:space="0" w:color="auto"/>
                                                          </w:divBdr>
                                                        </w:div>
                                                        <w:div w:id="291592821">
                                                          <w:marLeft w:val="0"/>
                                                          <w:marRight w:val="0"/>
                                                          <w:marTop w:val="0"/>
                                                          <w:marBottom w:val="0"/>
                                                          <w:divBdr>
                                                            <w:top w:val="none" w:sz="0" w:space="0" w:color="auto"/>
                                                            <w:left w:val="none" w:sz="0" w:space="0" w:color="auto"/>
                                                            <w:bottom w:val="none" w:sz="0" w:space="0" w:color="auto"/>
                                                            <w:right w:val="none" w:sz="0" w:space="0" w:color="auto"/>
                                                          </w:divBdr>
                                                          <w:divsChild>
                                                            <w:div w:id="89751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teach.org.il/%D7%A4%D7%A8%D7%99%D7%A6%D7%95%D7%AA-%D7%93%D7%A8%D7%9A-%D7%91%D7%91%D7%99%D7%95%D7%9C%D7%95%D7%92%D7%99%D7%94-%D7%91-70-%D7%A9%D7%A0%D7%95%D7%AA-%D7%94%D7%9E%D7%93%D7%99%D7%A0%D7%94-%D7%A4%D7%A2%D7%99%D7%9C%D7%95%D7%99%D7%95%D7%AA/2012/4241-%D7%A4%D7%A2%D7%99%D7%9C%D7%95%D7%AA-%D7%AA%D7%97%D7%A8%D7%95%D7%AA%D7%99%D7%AA-%D7%91%D7%A7%D7%91%D7%95%D7%A6%D7%95%D7%AA-%D7%91%D7%A0%D7%95%D7%A9%D7%90-%D7%A9%D7%9C-%D7%94%D7%A0%D7%93%D7%A1%D7%94-%D7%92%D7%A0%D7%98%D7%99%D7%AA-%D7%91%D7%99%D7%98%D7%95%D7%99-%D7%A9%D7%9C-%D7%97%D7%9C%D7%91%D7%95%D7%9F-%D7%A8%D7%A7%D7%95%D7%9E%D7%91%D7%99%D7%A0%D7%A0%D7%98%D7%99-%D7%91%D7%A6%D7%9E%D7%97%D7%99%D7%9D/file" TargetMode="External"/><Relationship Id="rId13" Type="http://schemas.openxmlformats.org/officeDocument/2006/relationships/hyperlink" Target="https://www.nature.com/articles/gim201263"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elelyso.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sciencedirect.com/science/book/9780123850157" TargetMode="External"/><Relationship Id="rId5" Type="http://schemas.openxmlformats.org/officeDocument/2006/relationships/footnotes" Target="footnotes.xml"/><Relationship Id="rId15" Type="http://schemas.openxmlformats.org/officeDocument/2006/relationships/hyperlink" Target="https://www.nih.gov/" TargetMode="External"/><Relationship Id="rId10" Type="http://schemas.openxmlformats.org/officeDocument/2006/relationships/hyperlink" Target="https://www.sciencedirect.com/topics/neuroscience/recombinant-proteins" TargetMode="External"/><Relationship Id="rId4" Type="http://schemas.openxmlformats.org/officeDocument/2006/relationships/webSettings" Target="webSettings.xml"/><Relationship Id="rId9" Type="http://schemas.openxmlformats.org/officeDocument/2006/relationships/hyperlink" Target="http://protalix.com/about/" TargetMode="External"/><Relationship Id="rId14" Type="http://schemas.openxmlformats.org/officeDocument/2006/relationships/hyperlink" Target="https://patents.justia.com/assignee/protalix?page=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E03033-4B59-4560-9805-E09922383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3</Pages>
  <Words>1050</Words>
  <Characters>5254</Characters>
  <Application>Microsoft Office Word</Application>
  <DocSecurity>0</DocSecurity>
  <Lines>43</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Sceince</Company>
  <LinksUpToDate>false</LinksUpToDate>
  <CharactersWithSpaces>6292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Shiran Maskit</dc:creator>
  <cp:lastModifiedBy>Windows User</cp:lastModifiedBy>
  <cp:revision>6</cp:revision>
  <dcterms:created xsi:type="dcterms:W3CDTF">2018-07-26T14:09:00Z</dcterms:created>
  <dcterms:modified xsi:type="dcterms:W3CDTF">2018-09-20T14:30:00Z</dcterms:modified>
</cp:coreProperties>
</file>